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BF" w:rsidRPr="003261BF" w:rsidRDefault="003261BF" w:rsidP="00242CA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185D2"/>
          <w:kern w:val="36"/>
          <w:sz w:val="29"/>
          <w:szCs w:val="29"/>
          <w:lang w:val="en-US" w:eastAsia="fr-FR"/>
        </w:rPr>
      </w:pPr>
      <w:r w:rsidRPr="003261BF"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  <w:lang w:val="en-US"/>
        </w:rPr>
        <w:t> </w:t>
      </w:r>
      <w:r w:rsidRPr="003261BF">
        <w:rPr>
          <w:rFonts w:ascii="Arial" w:hAnsi="Arial" w:cs="Arial"/>
          <w:color w:val="000000"/>
          <w:sz w:val="17"/>
          <w:szCs w:val="17"/>
          <w:shd w:val="clear" w:color="auto" w:fill="FFFFFF"/>
          <w:lang w:val="en-US"/>
        </w:rPr>
        <w:t>I didn't treat but just visited the patient for the DUS diagnosis because the previous one was "normal</w:t>
      </w:r>
      <w:proofErr w:type="gramStart"/>
      <w:r w:rsidRPr="003261BF">
        <w:rPr>
          <w:rFonts w:ascii="Arial" w:hAnsi="Arial" w:cs="Arial"/>
          <w:color w:val="000000"/>
          <w:sz w:val="17"/>
          <w:szCs w:val="17"/>
          <w:shd w:val="clear" w:color="auto" w:fill="FFFFFF"/>
          <w:lang w:val="en-US"/>
        </w:rPr>
        <w:t xml:space="preserve">" </w:t>
      </w:r>
      <w:r w:rsidR="00046DD8">
        <w:rPr>
          <w:rFonts w:ascii="Arial" w:hAnsi="Arial" w:cs="Arial"/>
          <w:color w:val="000000"/>
          <w:sz w:val="17"/>
          <w:szCs w:val="17"/>
          <w:shd w:val="clear" w:color="auto" w:fill="FFFFFF"/>
          <w:lang w:val="en-US"/>
        </w:rPr>
        <w:t xml:space="preserve"> and</w:t>
      </w:r>
      <w:proofErr w:type="gramEnd"/>
      <w:r w:rsidR="00046DD8" w:rsidRPr="00242CAE">
        <w:rPr>
          <w:rFonts w:ascii="Verdana" w:eastAsia="Times New Roman" w:hAnsi="Verdana" w:cs="Arial"/>
          <w:color w:val="565656"/>
          <w:sz w:val="16"/>
          <w:szCs w:val="16"/>
          <w:lang w:val="en-US" w:eastAsia="fr-FR"/>
        </w:rPr>
        <w:t xml:space="preserve"> D-</w:t>
      </w:r>
      <w:proofErr w:type="spellStart"/>
      <w:r w:rsidR="00046DD8" w:rsidRPr="00242CAE">
        <w:rPr>
          <w:rFonts w:ascii="Verdana" w:eastAsia="Times New Roman" w:hAnsi="Verdana" w:cs="Arial"/>
          <w:color w:val="565656"/>
          <w:sz w:val="16"/>
          <w:szCs w:val="16"/>
          <w:lang w:val="en-US" w:eastAsia="fr-FR"/>
        </w:rPr>
        <w:t>dimères</w:t>
      </w:r>
      <w:proofErr w:type="spellEnd"/>
      <w:r w:rsidR="00046DD8" w:rsidRPr="00242CAE">
        <w:rPr>
          <w:rFonts w:ascii="Verdana" w:eastAsia="Times New Roman" w:hAnsi="Verdana" w:cs="Arial"/>
          <w:color w:val="565656"/>
          <w:sz w:val="16"/>
          <w:szCs w:val="16"/>
          <w:lang w:val="en-US" w:eastAsia="fr-FR"/>
        </w:rPr>
        <w:t xml:space="preserve"> </w:t>
      </w:r>
      <w:r w:rsidR="00046DD8">
        <w:rPr>
          <w:rFonts w:ascii="Verdana" w:eastAsia="Times New Roman" w:hAnsi="Verdana" w:cs="Arial"/>
          <w:color w:val="565656"/>
          <w:sz w:val="16"/>
          <w:szCs w:val="16"/>
          <w:lang w:val="en-US" w:eastAsia="fr-FR"/>
        </w:rPr>
        <w:t xml:space="preserve">test was negative </w:t>
      </w:r>
      <w:r w:rsidRPr="003261BF"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  <w:lang w:val="en-US"/>
        </w:rPr>
        <w:t> </w:t>
      </w:r>
      <w:r w:rsidRPr="003261BF">
        <w:rPr>
          <w:rFonts w:ascii="Arial" w:hAnsi="Arial" w:cs="Arial"/>
          <w:color w:val="000000"/>
          <w:sz w:val="17"/>
          <w:szCs w:val="17"/>
          <w:lang w:val="en-US"/>
        </w:rPr>
        <w:br/>
      </w:r>
      <w:r w:rsidRPr="003261BF">
        <w:rPr>
          <w:rFonts w:ascii="Arial" w:hAnsi="Arial" w:cs="Arial"/>
          <w:color w:val="000000"/>
          <w:sz w:val="17"/>
          <w:szCs w:val="17"/>
          <w:shd w:val="clear" w:color="auto" w:fill="FFFFFF"/>
          <w:lang w:val="en-US"/>
        </w:rPr>
        <w:t xml:space="preserve">In fact the first  DUS diagnosis  failed because the clot was just hidden between the 1st rib and the </w:t>
      </w:r>
      <w:proofErr w:type="spellStart"/>
      <w:r w:rsidRPr="003261BF">
        <w:rPr>
          <w:rFonts w:ascii="Arial" w:hAnsi="Arial" w:cs="Arial"/>
          <w:color w:val="000000"/>
          <w:sz w:val="17"/>
          <w:szCs w:val="17"/>
          <w:shd w:val="clear" w:color="auto" w:fill="FFFFFF"/>
          <w:lang w:val="en-US"/>
        </w:rPr>
        <w:t>clavicula</w:t>
      </w:r>
      <w:proofErr w:type="spellEnd"/>
      <w:r w:rsidRPr="003261BF">
        <w:rPr>
          <w:rFonts w:ascii="Arial" w:hAnsi="Arial" w:cs="Arial"/>
          <w:color w:val="000000"/>
          <w:sz w:val="17"/>
          <w:szCs w:val="17"/>
          <w:shd w:val="clear" w:color="auto" w:fill="FFFFFF"/>
          <w:lang w:val="en-US"/>
        </w:rPr>
        <w:t xml:space="preserve"> and the </w:t>
      </w:r>
      <w:proofErr w:type="spellStart"/>
      <w:r w:rsidRPr="003261BF">
        <w:rPr>
          <w:rFonts w:ascii="Arial" w:hAnsi="Arial" w:cs="Arial"/>
          <w:color w:val="000000"/>
          <w:sz w:val="17"/>
          <w:szCs w:val="17"/>
          <w:shd w:val="clear" w:color="auto" w:fill="FFFFFF"/>
          <w:lang w:val="en-US"/>
        </w:rPr>
        <w:t>angiologist</w:t>
      </w:r>
      <w:proofErr w:type="spellEnd"/>
      <w:r w:rsidRPr="003261BF">
        <w:rPr>
          <w:rFonts w:ascii="Arial" w:hAnsi="Arial" w:cs="Arial"/>
          <w:color w:val="000000"/>
          <w:sz w:val="17"/>
          <w:szCs w:val="17"/>
          <w:shd w:val="clear" w:color="auto" w:fill="FFFFFF"/>
          <w:lang w:val="en-US"/>
        </w:rPr>
        <w:t xml:space="preserve"> didn't have the idea to ask the patient to lift the shoulder in order to make it visible and scanned with  the US probe .</w:t>
      </w:r>
      <w:r w:rsidRPr="003261BF"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  <w:lang w:val="en-US"/>
        </w:rPr>
        <w:t> </w:t>
      </w:r>
      <w:r w:rsidRPr="003261BF">
        <w:rPr>
          <w:rFonts w:ascii="Arial" w:hAnsi="Arial" w:cs="Arial"/>
          <w:color w:val="000000"/>
          <w:sz w:val="17"/>
          <w:szCs w:val="17"/>
          <w:lang w:val="en-US"/>
        </w:rPr>
        <w:br/>
      </w:r>
      <w:r w:rsidRPr="003261BF">
        <w:rPr>
          <w:rFonts w:ascii="Arial" w:hAnsi="Arial" w:cs="Arial"/>
          <w:color w:val="000000"/>
          <w:sz w:val="17"/>
          <w:szCs w:val="17"/>
          <w:shd w:val="clear" w:color="auto" w:fill="FFFFFF"/>
          <w:lang w:val="en-US"/>
        </w:rPr>
        <w:t xml:space="preserve">This </w:t>
      </w:r>
      <w:proofErr w:type="spellStart"/>
      <w:r w:rsidRPr="003261BF">
        <w:rPr>
          <w:rFonts w:ascii="Arial" w:hAnsi="Arial" w:cs="Arial"/>
          <w:color w:val="000000"/>
          <w:sz w:val="17"/>
          <w:szCs w:val="17"/>
          <w:shd w:val="clear" w:color="auto" w:fill="FFFFFF"/>
          <w:lang w:val="en-US"/>
        </w:rPr>
        <w:t>angiologist</w:t>
      </w:r>
      <w:proofErr w:type="spellEnd"/>
      <w:r w:rsidRPr="003261BF">
        <w:rPr>
          <w:rFonts w:ascii="Arial" w:hAnsi="Arial" w:cs="Arial"/>
          <w:color w:val="000000"/>
          <w:sz w:val="17"/>
          <w:szCs w:val="17"/>
          <w:shd w:val="clear" w:color="auto" w:fill="FFFFFF"/>
          <w:lang w:val="en-US"/>
        </w:rPr>
        <w:t xml:space="preserve"> is not one of my pupils....and the teachers are not always excellent.</w:t>
      </w:r>
      <w:r w:rsidRPr="003261BF"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  <w:lang w:val="en-US"/>
        </w:rPr>
        <w:t> </w:t>
      </w:r>
    </w:p>
    <w:p w:rsidR="00242CAE" w:rsidRPr="00242CAE" w:rsidRDefault="00242CAE" w:rsidP="00242CA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185D2"/>
          <w:kern w:val="36"/>
          <w:sz w:val="29"/>
          <w:szCs w:val="29"/>
          <w:lang w:eastAsia="fr-FR"/>
        </w:rPr>
      </w:pPr>
      <w:r w:rsidRPr="00242CAE">
        <w:rPr>
          <w:rFonts w:ascii="Times New Roman" w:eastAsia="Times New Roman" w:hAnsi="Times New Roman" w:cs="Times New Roman"/>
          <w:b/>
          <w:bCs/>
          <w:color w:val="3185D2"/>
          <w:kern w:val="36"/>
          <w:sz w:val="29"/>
          <w:szCs w:val="29"/>
          <w:lang w:eastAsia="fr-FR"/>
        </w:rPr>
        <w:t>Thrombose veineuse profonde du membre supérieur chez une violoniste : « le syndrome de l’archet »</w:t>
      </w:r>
      <w:r w:rsidRPr="00242CAE">
        <w:rPr>
          <w:rFonts w:ascii="Times New Roman" w:eastAsia="Times New Roman" w:hAnsi="Times New Roman" w:cs="Times New Roman"/>
          <w:b/>
          <w:bCs/>
          <w:color w:val="3185D2"/>
          <w:kern w:val="36"/>
          <w:sz w:val="29"/>
          <w:lang w:eastAsia="fr-FR"/>
        </w:rPr>
        <w:t> </w:t>
      </w:r>
      <w:r w:rsidRPr="00242CAE">
        <w:rPr>
          <w:rFonts w:ascii="Times New Roman" w:eastAsia="Times New Roman" w:hAnsi="Times New Roman" w:cs="Times New Roman"/>
          <w:b/>
          <w:bCs/>
          <w:color w:val="9B9B9B"/>
          <w:kern w:val="36"/>
          <w:sz w:val="16"/>
          <w:szCs w:val="16"/>
          <w:lang w:eastAsia="fr-FR"/>
        </w:rPr>
        <w:t>- 05/11/16</w:t>
      </w:r>
    </w:p>
    <w:p w:rsidR="00242CAE" w:rsidRPr="00242CAE" w:rsidRDefault="00242CAE" w:rsidP="00242CAE">
      <w:pPr>
        <w:spacing w:before="26" w:after="26" w:line="240" w:lineRule="auto"/>
        <w:outlineLvl w:val="1"/>
        <w:rPr>
          <w:rFonts w:ascii="Times New Roman" w:eastAsia="Times New Roman" w:hAnsi="Times New Roman" w:cs="Times New Roman"/>
          <w:i/>
          <w:iCs/>
          <w:color w:val="3185D2"/>
          <w:sz w:val="18"/>
          <w:szCs w:val="18"/>
          <w:lang w:val="en-US" w:eastAsia="fr-FR"/>
        </w:rPr>
      </w:pPr>
      <w:r w:rsidRPr="00242CAE">
        <w:rPr>
          <w:rFonts w:ascii="Times New Roman" w:eastAsia="Times New Roman" w:hAnsi="Times New Roman" w:cs="Times New Roman"/>
          <w:i/>
          <w:iCs/>
          <w:color w:val="3185D2"/>
          <w:sz w:val="18"/>
          <w:szCs w:val="18"/>
          <w:lang w:val="en-US" w:eastAsia="fr-FR"/>
        </w:rPr>
        <w:t>Deep venous thrombosis of the upper limb in a violin player: The “bow syndrome”</w:t>
      </w:r>
    </w:p>
    <w:p w:rsidR="00242CAE" w:rsidRPr="00242CAE" w:rsidRDefault="00242CAE" w:rsidP="00242CAE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fr-FR"/>
        </w:rPr>
      </w:pPr>
      <w:proofErr w:type="spellStart"/>
      <w:r w:rsidRPr="00242CAE">
        <w:rPr>
          <w:rFonts w:ascii="Times New Roman" w:eastAsia="Times New Roman" w:hAnsi="Times New Roman" w:cs="Times New Roman"/>
          <w:color w:val="555555"/>
          <w:sz w:val="24"/>
          <w:szCs w:val="24"/>
          <w:lang w:eastAsia="fr-FR"/>
        </w:rPr>
        <w:t>Doi</w:t>
      </w:r>
      <w:proofErr w:type="spellEnd"/>
      <w:r w:rsidRPr="00242CAE">
        <w:rPr>
          <w:rFonts w:ascii="Times New Roman" w:eastAsia="Times New Roman" w:hAnsi="Times New Roman" w:cs="Times New Roman"/>
          <w:color w:val="555555"/>
          <w:sz w:val="24"/>
          <w:szCs w:val="24"/>
          <w:lang w:eastAsia="fr-FR"/>
        </w:rPr>
        <w:t xml:space="preserve"> : 10.1016/j.jmv.2016.10.004 </w:t>
      </w:r>
    </w:p>
    <w:p w:rsidR="00242CAE" w:rsidRPr="00242CAE" w:rsidRDefault="00242CAE" w:rsidP="00242CAE">
      <w:pPr>
        <w:spacing w:after="0" w:line="240" w:lineRule="auto"/>
        <w:rPr>
          <w:rFonts w:ascii="Verdana" w:eastAsia="Times New Roman" w:hAnsi="Verdana" w:cs="Times New Roman"/>
          <w:b/>
          <w:bCs/>
          <w:color w:val="565656"/>
          <w:sz w:val="16"/>
          <w:szCs w:val="16"/>
          <w:lang w:eastAsia="fr-FR"/>
        </w:rPr>
      </w:pPr>
      <w:r w:rsidRPr="00242CAE">
        <w:rPr>
          <w:rFonts w:ascii="Verdana" w:eastAsia="Times New Roman" w:hAnsi="Verdana" w:cs="Times New Roman"/>
          <w:b/>
          <w:bCs/>
          <w:color w:val="565656"/>
          <w:sz w:val="16"/>
          <w:szCs w:val="16"/>
          <w:lang w:eastAsia="fr-FR"/>
        </w:rPr>
        <w:t>H. Sanson</w:t>
      </w:r>
      <w:r w:rsidRPr="00242CAE">
        <w:rPr>
          <w:rFonts w:ascii="Verdana" w:eastAsia="Times New Roman" w:hAnsi="Verdana" w:cs="Times New Roman"/>
          <w:b/>
          <w:bCs/>
          <w:color w:val="565656"/>
          <w:sz w:val="16"/>
          <w:lang w:eastAsia="fr-FR"/>
        </w:rPr>
        <w:t> </w:t>
      </w:r>
      <w:hyperlink r:id="rId5" w:anchor="COR0005" w:history="1">
        <w:r w:rsidRPr="00242CAE">
          <w:rPr>
            <w:rFonts w:ascii="Verdana" w:eastAsia="Times New Roman" w:hAnsi="Verdana" w:cs="Verdana"/>
            <w:b/>
            <w:bCs/>
            <w:color w:val="FF6600"/>
            <w:sz w:val="13"/>
            <w:u w:val="single"/>
            <w:vertAlign w:val="superscript"/>
            <w:lang w:eastAsia="fr-FR"/>
          </w:rPr>
          <w:t>⁎</w:t>
        </w:r>
      </w:hyperlink>
      <w:r w:rsidRPr="00242CAE">
        <w:rPr>
          <w:rFonts w:ascii="Verdana" w:eastAsia="Times New Roman" w:hAnsi="Verdana" w:cs="Times New Roman"/>
          <w:b/>
          <w:bCs/>
          <w:color w:val="565656"/>
          <w:sz w:val="16"/>
          <w:lang w:eastAsia="fr-FR"/>
        </w:rPr>
        <w:t> </w:t>
      </w:r>
      <w:r>
        <w:rPr>
          <w:rFonts w:ascii="Verdana" w:eastAsia="Times New Roman" w:hAnsi="Verdana" w:cs="Times New Roman"/>
          <w:b/>
          <w:bCs/>
          <w:noProof/>
          <w:color w:val="FF6600"/>
          <w:sz w:val="16"/>
          <w:szCs w:val="16"/>
          <w:lang w:eastAsia="fr-FR"/>
        </w:rPr>
        <w:drawing>
          <wp:inline distT="0" distB="0" distL="0" distR="0">
            <wp:extent cx="156210" cy="156210"/>
            <wp:effectExtent l="19050" t="0" r="0" b="0"/>
            <wp:docPr id="1" name="Image 1" descr="http://www.em-consulte.com/templates/common/images/mail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m-consulte.com/templates/common/images/mail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AE">
        <w:rPr>
          <w:rFonts w:ascii="Verdana" w:eastAsia="Times New Roman" w:hAnsi="Verdana" w:cs="Times New Roman"/>
          <w:b/>
          <w:bCs/>
          <w:color w:val="565656"/>
          <w:sz w:val="16"/>
          <w:szCs w:val="16"/>
          <w:lang w:eastAsia="fr-FR"/>
        </w:rPr>
        <w:t>, V. Gautier, A. </w:t>
      </w:r>
      <w:proofErr w:type="spellStart"/>
      <w:r w:rsidRPr="00242CAE">
        <w:rPr>
          <w:rFonts w:ascii="Verdana" w:eastAsia="Times New Roman" w:hAnsi="Verdana" w:cs="Times New Roman"/>
          <w:b/>
          <w:bCs/>
          <w:color w:val="565656"/>
          <w:sz w:val="16"/>
          <w:szCs w:val="16"/>
          <w:lang w:eastAsia="fr-FR"/>
        </w:rPr>
        <w:t>Stansal</w:t>
      </w:r>
      <w:proofErr w:type="spellEnd"/>
      <w:r w:rsidRPr="00242CAE">
        <w:rPr>
          <w:rFonts w:ascii="Verdana" w:eastAsia="Times New Roman" w:hAnsi="Verdana" w:cs="Times New Roman"/>
          <w:b/>
          <w:bCs/>
          <w:color w:val="565656"/>
          <w:sz w:val="16"/>
          <w:szCs w:val="16"/>
          <w:lang w:eastAsia="fr-FR"/>
        </w:rPr>
        <w:t>, D. </w:t>
      </w:r>
      <w:proofErr w:type="spellStart"/>
      <w:r w:rsidRPr="00242CAE">
        <w:rPr>
          <w:rFonts w:ascii="Verdana" w:eastAsia="Times New Roman" w:hAnsi="Verdana" w:cs="Times New Roman"/>
          <w:b/>
          <w:bCs/>
          <w:color w:val="565656"/>
          <w:sz w:val="16"/>
          <w:szCs w:val="16"/>
          <w:lang w:eastAsia="fr-FR"/>
        </w:rPr>
        <w:t>Sfeir</w:t>
      </w:r>
      <w:proofErr w:type="spellEnd"/>
      <w:r w:rsidRPr="00242CAE">
        <w:rPr>
          <w:rFonts w:ascii="Verdana" w:eastAsia="Times New Roman" w:hAnsi="Verdana" w:cs="Times New Roman"/>
          <w:b/>
          <w:bCs/>
          <w:color w:val="565656"/>
          <w:sz w:val="16"/>
          <w:szCs w:val="16"/>
          <w:lang w:eastAsia="fr-FR"/>
        </w:rPr>
        <w:t>, C. Franceschi, P. </w:t>
      </w:r>
      <w:proofErr w:type="spellStart"/>
      <w:r w:rsidRPr="00242CAE">
        <w:rPr>
          <w:rFonts w:ascii="Verdana" w:eastAsia="Times New Roman" w:hAnsi="Verdana" w:cs="Times New Roman"/>
          <w:b/>
          <w:bCs/>
          <w:color w:val="565656"/>
          <w:sz w:val="16"/>
          <w:szCs w:val="16"/>
          <w:lang w:eastAsia="fr-FR"/>
        </w:rPr>
        <w:t>Priollet</w:t>
      </w:r>
      <w:proofErr w:type="spellEnd"/>
      <w:r w:rsidRPr="00242CAE">
        <w:rPr>
          <w:rFonts w:ascii="Verdana" w:eastAsia="Times New Roman" w:hAnsi="Verdana" w:cs="Times New Roman"/>
          <w:b/>
          <w:bCs/>
          <w:color w:val="565656"/>
          <w:sz w:val="16"/>
          <w:szCs w:val="16"/>
          <w:lang w:eastAsia="fr-FR"/>
        </w:rPr>
        <w:br/>
      </w:r>
      <w:bookmarkStart w:id="0" w:name="AFF0005"/>
      <w:bookmarkEnd w:id="0"/>
    </w:p>
    <w:p w:rsidR="00242CAE" w:rsidRPr="00242CAE" w:rsidRDefault="00242CAE" w:rsidP="00242CAE">
      <w:pPr>
        <w:spacing w:after="0" w:line="240" w:lineRule="auto"/>
        <w:rPr>
          <w:rFonts w:ascii="Verdana" w:eastAsia="Times New Roman" w:hAnsi="Verdana" w:cs="Times New Roman"/>
          <w:b/>
          <w:bCs/>
          <w:color w:val="565656"/>
          <w:sz w:val="16"/>
          <w:szCs w:val="16"/>
          <w:lang w:eastAsia="fr-FR"/>
        </w:rPr>
      </w:pPr>
      <w:r w:rsidRPr="00242CAE">
        <w:rPr>
          <w:rFonts w:ascii="Verdana" w:eastAsia="Times New Roman" w:hAnsi="Verdana" w:cs="Times New Roman"/>
          <w:b/>
          <w:bCs/>
          <w:color w:val="565656"/>
          <w:sz w:val="16"/>
          <w:szCs w:val="16"/>
          <w:lang w:eastAsia="fr-FR"/>
        </w:rPr>
        <w:t> Service de médecine vasculaire, groupe hospitalier Paris Saint-Joseph, 185, rue Raymond-</w:t>
      </w:r>
      <w:proofErr w:type="spellStart"/>
      <w:r w:rsidRPr="00242CAE">
        <w:rPr>
          <w:rFonts w:ascii="Verdana" w:eastAsia="Times New Roman" w:hAnsi="Verdana" w:cs="Times New Roman"/>
          <w:b/>
          <w:bCs/>
          <w:color w:val="565656"/>
          <w:sz w:val="16"/>
          <w:szCs w:val="16"/>
          <w:lang w:eastAsia="fr-FR"/>
        </w:rPr>
        <w:t>Losserand</w:t>
      </w:r>
      <w:proofErr w:type="spellEnd"/>
      <w:r w:rsidRPr="00242CAE">
        <w:rPr>
          <w:rFonts w:ascii="Verdana" w:eastAsia="Times New Roman" w:hAnsi="Verdana" w:cs="Times New Roman"/>
          <w:b/>
          <w:bCs/>
          <w:color w:val="565656"/>
          <w:sz w:val="16"/>
          <w:szCs w:val="16"/>
          <w:lang w:eastAsia="fr-FR"/>
        </w:rPr>
        <w:t>, 75674 Paris cedex 14, France </w:t>
      </w:r>
    </w:p>
    <w:p w:rsidR="00242CAE" w:rsidRPr="00242CAE" w:rsidRDefault="00242CAE" w:rsidP="00242CAE">
      <w:pPr>
        <w:spacing w:after="0" w:line="240" w:lineRule="auto"/>
        <w:rPr>
          <w:rFonts w:ascii="Verdana" w:eastAsia="Times New Roman" w:hAnsi="Verdana" w:cs="Times New Roman"/>
          <w:b/>
          <w:bCs/>
          <w:color w:val="565656"/>
          <w:sz w:val="16"/>
          <w:szCs w:val="16"/>
          <w:lang w:eastAsia="fr-FR"/>
        </w:rPr>
      </w:pPr>
      <w:r w:rsidRPr="00242CAE">
        <w:rPr>
          <w:rFonts w:ascii="Verdana" w:eastAsia="Times New Roman" w:hAnsi="Verdana" w:cs="Times New Roman"/>
          <w:b/>
          <w:bCs/>
          <w:color w:val="565656"/>
          <w:sz w:val="16"/>
          <w:szCs w:val="16"/>
          <w:lang w:eastAsia="fr-FR"/>
        </w:rPr>
        <w:br/>
      </w:r>
      <w:bookmarkStart w:id="1" w:name="COR0005"/>
      <w:bookmarkEnd w:id="1"/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62"/>
      </w:tblGrid>
      <w:tr w:rsidR="00242CAE" w:rsidRPr="00242CAE" w:rsidTr="00242C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2CAE" w:rsidRPr="00242CAE" w:rsidRDefault="00242CAE" w:rsidP="00242CAE">
            <w:pPr>
              <w:spacing w:before="26" w:after="65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E05800"/>
                <w:sz w:val="29"/>
                <w:szCs w:val="29"/>
                <w:lang w:eastAsia="fr-FR"/>
              </w:rPr>
            </w:pPr>
            <w:r w:rsidRPr="00242CAE">
              <w:rPr>
                <w:rFonts w:ascii="Times New Roman" w:eastAsia="Times New Roman" w:hAnsi="Times New Roman" w:cs="Times New Roman"/>
                <w:i/>
                <w:iCs/>
                <w:color w:val="E05800"/>
                <w:sz w:val="29"/>
                <w:szCs w:val="29"/>
                <w:lang w:eastAsia="fr-FR"/>
              </w:rPr>
              <w:t>Résumé</w:t>
            </w:r>
          </w:p>
        </w:tc>
      </w:tr>
    </w:tbl>
    <w:p w:rsidR="00242CAE" w:rsidRPr="00242CAE" w:rsidRDefault="00242CAE" w:rsidP="00242CAE">
      <w:pPr>
        <w:shd w:val="clear" w:color="auto" w:fill="FFFFFF"/>
        <w:spacing w:after="130" w:line="240" w:lineRule="auto"/>
        <w:jc w:val="both"/>
        <w:rPr>
          <w:rFonts w:ascii="Verdana" w:eastAsia="Times New Roman" w:hAnsi="Verdana" w:cs="Arial"/>
          <w:vanish/>
          <w:color w:val="565656"/>
          <w:sz w:val="16"/>
          <w:lang w:eastAsia="fr-FR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245"/>
      </w:tblGrid>
      <w:tr w:rsidR="00242CAE" w:rsidRPr="00242CAE" w:rsidTr="00242C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2CAE" w:rsidRPr="00242CAE" w:rsidRDefault="00242CAE" w:rsidP="00242CAE">
            <w:pPr>
              <w:spacing w:after="65" w:line="240" w:lineRule="auto"/>
              <w:ind w:left="259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486D"/>
                <w:sz w:val="17"/>
                <w:szCs w:val="17"/>
                <w:lang w:eastAsia="fr-FR"/>
              </w:rPr>
            </w:pPr>
            <w:r w:rsidRPr="00242CAE">
              <w:rPr>
                <w:rFonts w:ascii="Times New Roman" w:eastAsia="Times New Roman" w:hAnsi="Times New Roman" w:cs="Times New Roman"/>
                <w:b/>
                <w:bCs/>
                <w:color w:val="00486D"/>
                <w:sz w:val="17"/>
                <w:szCs w:val="17"/>
                <w:lang w:eastAsia="fr-FR"/>
              </w:rPr>
              <w:t>Introduction</w:t>
            </w:r>
          </w:p>
        </w:tc>
      </w:tr>
    </w:tbl>
    <w:p w:rsidR="00242CAE" w:rsidRPr="00242CAE" w:rsidRDefault="00242CAE" w:rsidP="00242CAE">
      <w:pPr>
        <w:shd w:val="clear" w:color="auto" w:fill="FFFFFF"/>
        <w:spacing w:before="26" w:after="130" w:line="195" w:lineRule="atLeast"/>
        <w:ind w:right="324"/>
        <w:jc w:val="both"/>
        <w:rPr>
          <w:rFonts w:ascii="Times New Roman" w:eastAsia="Times New Roman" w:hAnsi="Times New Roman" w:cs="Arial"/>
          <w:sz w:val="24"/>
          <w:szCs w:val="24"/>
          <w:lang w:eastAsia="fr-FR"/>
        </w:rPr>
      </w:pPr>
      <w:r w:rsidRPr="00242CAE">
        <w:rPr>
          <w:rFonts w:ascii="Verdana" w:eastAsia="Times New Roman" w:hAnsi="Verdana" w:cs="Arial"/>
          <w:color w:val="565656"/>
          <w:sz w:val="16"/>
          <w:szCs w:val="16"/>
          <w:lang w:eastAsia="fr-FR"/>
        </w:rPr>
        <w:t xml:space="preserve">La thrombose veineuse d’effort est une cause rare de thrombose veineuse profonde du membre supérieur (TVPMS) touchant les sujets jeunes et sans </w:t>
      </w:r>
      <w:proofErr w:type="spellStart"/>
      <w:r w:rsidRPr="00242CAE">
        <w:rPr>
          <w:rFonts w:ascii="Verdana" w:eastAsia="Times New Roman" w:hAnsi="Verdana" w:cs="Arial"/>
          <w:color w:val="565656"/>
          <w:sz w:val="16"/>
          <w:szCs w:val="16"/>
          <w:lang w:eastAsia="fr-FR"/>
        </w:rPr>
        <w:t>comorbidité</w:t>
      </w:r>
      <w:proofErr w:type="spellEnd"/>
      <w:r w:rsidRPr="00242CAE">
        <w:rPr>
          <w:rFonts w:ascii="Verdana" w:eastAsia="Times New Roman" w:hAnsi="Verdana" w:cs="Arial"/>
          <w:color w:val="565656"/>
          <w:sz w:val="16"/>
          <w:szCs w:val="16"/>
          <w:lang w:eastAsia="fr-FR"/>
        </w:rPr>
        <w:t>. Le diagnostic n’est pas toujours facilement évoqué.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212"/>
      </w:tblGrid>
      <w:tr w:rsidR="00242CAE" w:rsidRPr="00242CAE" w:rsidTr="00242C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2CAE" w:rsidRPr="00242CAE" w:rsidRDefault="00242CAE" w:rsidP="00242CAE">
            <w:pPr>
              <w:spacing w:after="65" w:line="240" w:lineRule="auto"/>
              <w:ind w:left="259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486D"/>
                <w:sz w:val="17"/>
                <w:szCs w:val="17"/>
                <w:lang w:eastAsia="fr-FR"/>
              </w:rPr>
            </w:pPr>
            <w:r w:rsidRPr="00242CAE">
              <w:rPr>
                <w:rFonts w:ascii="Times New Roman" w:eastAsia="Times New Roman" w:hAnsi="Times New Roman" w:cs="Times New Roman"/>
                <w:b/>
                <w:bCs/>
                <w:color w:val="00486D"/>
                <w:sz w:val="17"/>
                <w:szCs w:val="17"/>
                <w:lang w:eastAsia="fr-FR"/>
              </w:rPr>
              <w:t>Cas clinique</w:t>
            </w:r>
          </w:p>
        </w:tc>
      </w:tr>
    </w:tbl>
    <w:p w:rsidR="00242CAE" w:rsidRPr="00242CAE" w:rsidRDefault="00242CAE" w:rsidP="00242CAE">
      <w:pPr>
        <w:shd w:val="clear" w:color="auto" w:fill="FFFFFF"/>
        <w:spacing w:after="130" w:line="195" w:lineRule="atLeast"/>
        <w:ind w:right="324"/>
        <w:jc w:val="both"/>
        <w:rPr>
          <w:rFonts w:ascii="Verdana" w:eastAsia="Times New Roman" w:hAnsi="Verdana" w:cs="Arial"/>
          <w:color w:val="565656"/>
          <w:sz w:val="16"/>
          <w:szCs w:val="16"/>
          <w:lang w:eastAsia="fr-FR"/>
        </w:rPr>
      </w:pPr>
      <w:r w:rsidRPr="00242CAE">
        <w:rPr>
          <w:rFonts w:ascii="Verdana" w:eastAsia="Times New Roman" w:hAnsi="Verdana" w:cs="Arial"/>
          <w:color w:val="565656"/>
          <w:sz w:val="16"/>
          <w:szCs w:val="16"/>
          <w:lang w:eastAsia="fr-FR"/>
        </w:rPr>
        <w:t xml:space="preserve">Nous rapportons le cas d’une jeune femme de 23 ans, professeur de français, droitière, sous contraception </w:t>
      </w:r>
      <w:proofErr w:type="spellStart"/>
      <w:r w:rsidRPr="00242CAE">
        <w:rPr>
          <w:rFonts w:ascii="Verdana" w:eastAsia="Times New Roman" w:hAnsi="Verdana" w:cs="Arial"/>
          <w:color w:val="565656"/>
          <w:sz w:val="16"/>
          <w:szCs w:val="16"/>
          <w:lang w:eastAsia="fr-FR"/>
        </w:rPr>
        <w:t>estroprogestative</w:t>
      </w:r>
      <w:proofErr w:type="spellEnd"/>
      <w:r w:rsidRPr="00242CAE">
        <w:rPr>
          <w:rFonts w:ascii="Verdana" w:eastAsia="Times New Roman" w:hAnsi="Verdana" w:cs="Arial"/>
          <w:color w:val="565656"/>
          <w:sz w:val="16"/>
          <w:szCs w:val="16"/>
          <w:lang w:eastAsia="fr-FR"/>
        </w:rPr>
        <w:t xml:space="preserve">, violoniste, ayant récemment modifié sa façon de jouer, qui présentait un œdème de la racine du bras droit associé à une </w:t>
      </w:r>
      <w:proofErr w:type="spellStart"/>
      <w:r w:rsidRPr="00242CAE">
        <w:rPr>
          <w:rFonts w:ascii="Verdana" w:eastAsia="Times New Roman" w:hAnsi="Verdana" w:cs="Arial"/>
          <w:color w:val="565656"/>
          <w:sz w:val="16"/>
          <w:szCs w:val="16"/>
          <w:lang w:eastAsia="fr-FR"/>
        </w:rPr>
        <w:t>érythrocyanose</w:t>
      </w:r>
      <w:proofErr w:type="spellEnd"/>
      <w:r w:rsidRPr="00242CAE">
        <w:rPr>
          <w:rFonts w:ascii="Verdana" w:eastAsia="Times New Roman" w:hAnsi="Verdana" w:cs="Arial"/>
          <w:color w:val="565656"/>
          <w:sz w:val="16"/>
          <w:szCs w:val="16"/>
          <w:lang w:eastAsia="fr-FR"/>
        </w:rPr>
        <w:t xml:space="preserve"> de déclivité et à une circulation collatérale du moignon de l’épaule. Les D-dimères étaient négatifs. La TVP sous-clavière droite n’était objectivée que sur le deuxième écho-Doppler. Le choix était fait d’un traitement anticoagulant seul par héparine de bas poids moléculaire relayé par </w:t>
      </w:r>
      <w:proofErr w:type="spellStart"/>
      <w:r w:rsidRPr="00242CAE">
        <w:rPr>
          <w:rFonts w:ascii="Verdana" w:eastAsia="Times New Roman" w:hAnsi="Verdana" w:cs="Arial"/>
          <w:color w:val="565656"/>
          <w:sz w:val="16"/>
          <w:szCs w:val="16"/>
          <w:lang w:eastAsia="fr-FR"/>
        </w:rPr>
        <w:t>rivaroxaban</w:t>
      </w:r>
      <w:proofErr w:type="spellEnd"/>
      <w:r w:rsidRPr="00242CAE">
        <w:rPr>
          <w:rFonts w:ascii="Verdana" w:eastAsia="Times New Roman" w:hAnsi="Verdana" w:cs="Arial"/>
          <w:color w:val="565656"/>
          <w:sz w:val="16"/>
          <w:szCs w:val="16"/>
          <w:lang w:eastAsia="fr-FR"/>
        </w:rPr>
        <w:t>, permettant une évolution très satisfaisante à 48heures, et ce jusqu’à 4 mois de l’épisode, date où la patiente a été revue.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85"/>
      </w:tblGrid>
      <w:tr w:rsidR="00242CAE" w:rsidRPr="00242CAE" w:rsidTr="00242C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2CAE" w:rsidRPr="00242CAE" w:rsidRDefault="00242CAE" w:rsidP="00242CAE">
            <w:pPr>
              <w:spacing w:after="65" w:line="240" w:lineRule="auto"/>
              <w:ind w:left="259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486D"/>
                <w:sz w:val="17"/>
                <w:szCs w:val="17"/>
                <w:lang w:eastAsia="fr-FR"/>
              </w:rPr>
            </w:pPr>
            <w:r w:rsidRPr="00242CAE">
              <w:rPr>
                <w:rFonts w:ascii="Times New Roman" w:eastAsia="Times New Roman" w:hAnsi="Times New Roman" w:cs="Times New Roman"/>
                <w:b/>
                <w:bCs/>
                <w:color w:val="00486D"/>
                <w:sz w:val="17"/>
                <w:szCs w:val="17"/>
                <w:lang w:eastAsia="fr-FR"/>
              </w:rPr>
              <w:t>Discussion</w:t>
            </w:r>
          </w:p>
        </w:tc>
      </w:tr>
    </w:tbl>
    <w:p w:rsidR="00242CAE" w:rsidRPr="00242CAE" w:rsidRDefault="00242CAE" w:rsidP="00242CAE">
      <w:pPr>
        <w:shd w:val="clear" w:color="auto" w:fill="FFFFFF"/>
        <w:spacing w:before="26" w:after="130" w:line="195" w:lineRule="atLeast"/>
        <w:ind w:right="324"/>
        <w:jc w:val="both"/>
        <w:rPr>
          <w:rFonts w:ascii="Verdana" w:eastAsia="Times New Roman" w:hAnsi="Verdana" w:cs="Arial"/>
          <w:color w:val="565656"/>
          <w:sz w:val="16"/>
          <w:szCs w:val="16"/>
          <w:lang w:eastAsia="fr-FR"/>
        </w:rPr>
      </w:pPr>
      <w:r w:rsidRPr="00242CAE">
        <w:rPr>
          <w:rFonts w:ascii="Verdana" w:eastAsia="Times New Roman" w:hAnsi="Verdana" w:cs="Arial"/>
          <w:color w:val="565656"/>
          <w:sz w:val="16"/>
          <w:szCs w:val="16"/>
          <w:lang w:eastAsia="fr-FR"/>
        </w:rPr>
        <w:t xml:space="preserve">Le diagnostic de TVPMS est avant tout un diagnostic clinique. Un score de probabilité clinique existe et permet d’introduire une </w:t>
      </w:r>
      <w:proofErr w:type="spellStart"/>
      <w:r w:rsidRPr="00242CAE">
        <w:rPr>
          <w:rFonts w:ascii="Verdana" w:eastAsia="Times New Roman" w:hAnsi="Verdana" w:cs="Arial"/>
          <w:color w:val="565656"/>
          <w:sz w:val="16"/>
          <w:szCs w:val="16"/>
          <w:lang w:eastAsia="fr-FR"/>
        </w:rPr>
        <w:t>anticoagulation</w:t>
      </w:r>
      <w:proofErr w:type="spellEnd"/>
      <w:r w:rsidRPr="00242CAE">
        <w:rPr>
          <w:rFonts w:ascii="Verdana" w:eastAsia="Times New Roman" w:hAnsi="Verdana" w:cs="Arial"/>
          <w:color w:val="565656"/>
          <w:sz w:val="16"/>
          <w:szCs w:val="16"/>
          <w:lang w:eastAsia="fr-FR"/>
        </w:rPr>
        <w:t xml:space="preserve"> même si la TVP n’est pas objectivée par écho-Doppler, ce qui est possible compte tenu de la superposition claviculaire dans cette région. La suspicion de TVP d’effort doit faire rechercher une activité pouvant paraître peu intense mais répétée (en hyper-abduction) comme ici la pratique du violon. Le traitement de ces thromboses repose sur les anticoagulants tandis que la place de la chirurgie et des méthodes pharmaco-mécaniques doit encore être précisée.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132"/>
      </w:tblGrid>
      <w:tr w:rsidR="00242CAE" w:rsidRPr="00242CAE" w:rsidTr="00242C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2CAE" w:rsidRPr="00242CAE" w:rsidRDefault="00242CAE" w:rsidP="00242CAE">
            <w:pPr>
              <w:spacing w:after="65" w:line="240" w:lineRule="auto"/>
              <w:ind w:left="259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486D"/>
                <w:sz w:val="17"/>
                <w:szCs w:val="17"/>
                <w:lang w:eastAsia="fr-FR"/>
              </w:rPr>
            </w:pPr>
            <w:r w:rsidRPr="00242CAE">
              <w:rPr>
                <w:rFonts w:ascii="Times New Roman" w:eastAsia="Times New Roman" w:hAnsi="Times New Roman" w:cs="Times New Roman"/>
                <w:b/>
                <w:bCs/>
                <w:color w:val="00486D"/>
                <w:sz w:val="17"/>
                <w:szCs w:val="17"/>
                <w:lang w:eastAsia="fr-FR"/>
              </w:rPr>
              <w:t>Conclusion</w:t>
            </w:r>
          </w:p>
        </w:tc>
      </w:tr>
    </w:tbl>
    <w:p w:rsidR="00242CAE" w:rsidRPr="00242CAE" w:rsidRDefault="00242CAE" w:rsidP="00242CAE">
      <w:pPr>
        <w:shd w:val="clear" w:color="auto" w:fill="FFFFFF"/>
        <w:spacing w:before="26" w:after="130" w:line="195" w:lineRule="atLeast"/>
        <w:ind w:right="324"/>
        <w:jc w:val="both"/>
        <w:rPr>
          <w:rFonts w:ascii="Verdana" w:eastAsia="Times New Roman" w:hAnsi="Verdana" w:cs="Arial"/>
          <w:color w:val="565656"/>
          <w:sz w:val="16"/>
          <w:szCs w:val="16"/>
          <w:lang w:eastAsia="fr-FR"/>
        </w:rPr>
      </w:pPr>
      <w:r w:rsidRPr="00242CAE">
        <w:rPr>
          <w:rFonts w:ascii="Verdana" w:eastAsia="Times New Roman" w:hAnsi="Verdana" w:cs="Arial"/>
          <w:color w:val="565656"/>
          <w:sz w:val="16"/>
          <w:szCs w:val="16"/>
          <w:lang w:eastAsia="fr-FR"/>
        </w:rPr>
        <w:t xml:space="preserve">Devant une thrombose du membre supérieur chez un sujet jeune et sans </w:t>
      </w:r>
      <w:proofErr w:type="spellStart"/>
      <w:r w:rsidRPr="00242CAE">
        <w:rPr>
          <w:rFonts w:ascii="Verdana" w:eastAsia="Times New Roman" w:hAnsi="Verdana" w:cs="Arial"/>
          <w:color w:val="565656"/>
          <w:sz w:val="16"/>
          <w:szCs w:val="16"/>
          <w:lang w:eastAsia="fr-FR"/>
        </w:rPr>
        <w:t>comorbidité</w:t>
      </w:r>
      <w:proofErr w:type="spellEnd"/>
      <w:r w:rsidRPr="00242CAE">
        <w:rPr>
          <w:rFonts w:ascii="Verdana" w:eastAsia="Times New Roman" w:hAnsi="Verdana" w:cs="Arial"/>
          <w:color w:val="565656"/>
          <w:sz w:val="16"/>
          <w:szCs w:val="16"/>
          <w:lang w:eastAsia="fr-FR"/>
        </w:rPr>
        <w:t>, une thrombose d’effort (syndrome de Paget-</w:t>
      </w:r>
      <w:proofErr w:type="spellStart"/>
      <w:r w:rsidRPr="00242CAE">
        <w:rPr>
          <w:rFonts w:ascii="Verdana" w:eastAsia="Times New Roman" w:hAnsi="Verdana" w:cs="Arial"/>
          <w:color w:val="565656"/>
          <w:sz w:val="16"/>
          <w:szCs w:val="16"/>
          <w:lang w:eastAsia="fr-FR"/>
        </w:rPr>
        <w:t>Schroetter</w:t>
      </w:r>
      <w:proofErr w:type="spellEnd"/>
      <w:r w:rsidRPr="00242CAE">
        <w:rPr>
          <w:rFonts w:ascii="Verdana" w:eastAsia="Times New Roman" w:hAnsi="Verdana" w:cs="Arial"/>
          <w:color w:val="565656"/>
          <w:sz w:val="16"/>
          <w:szCs w:val="16"/>
          <w:lang w:eastAsia="fr-FR"/>
        </w:rPr>
        <w:t>) doit être évoquée facilement. Des études comparant les différentes options thérapeutiques pourraient permettre d’homogénéiser les prises en charge, malgré l’hétérogénéité des situations cliniques.</w:t>
      </w:r>
    </w:p>
    <w:p w:rsidR="00242CAE" w:rsidRPr="00242CAE" w:rsidRDefault="00242CAE" w:rsidP="00242CAE">
      <w:pPr>
        <w:shd w:val="clear" w:color="auto" w:fill="FFFFFF"/>
        <w:spacing w:after="13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fr-FR"/>
        </w:rPr>
      </w:pPr>
      <w:r w:rsidRPr="00242CAE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Le texte complet de cet article est disponible en PDF.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156"/>
      </w:tblGrid>
      <w:tr w:rsidR="00242CAE" w:rsidRPr="00242CAE" w:rsidTr="00242C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2CAE" w:rsidRPr="00242CAE" w:rsidRDefault="00242CAE" w:rsidP="00242CAE">
            <w:pPr>
              <w:spacing w:before="26" w:after="65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E05800"/>
                <w:sz w:val="29"/>
                <w:szCs w:val="29"/>
                <w:lang w:eastAsia="fr-FR"/>
              </w:rPr>
            </w:pPr>
            <w:proofErr w:type="spellStart"/>
            <w:r w:rsidRPr="00242CAE">
              <w:rPr>
                <w:rFonts w:ascii="Times New Roman" w:eastAsia="Times New Roman" w:hAnsi="Times New Roman" w:cs="Times New Roman"/>
                <w:i/>
                <w:iCs/>
                <w:color w:val="E05800"/>
                <w:sz w:val="29"/>
                <w:szCs w:val="29"/>
                <w:lang w:eastAsia="fr-FR"/>
              </w:rPr>
              <w:t>Summary</w:t>
            </w:r>
            <w:proofErr w:type="spellEnd"/>
          </w:p>
        </w:tc>
      </w:tr>
    </w:tbl>
    <w:p w:rsidR="00242CAE" w:rsidRPr="00242CAE" w:rsidRDefault="00242CAE" w:rsidP="00242CAE">
      <w:pPr>
        <w:shd w:val="clear" w:color="auto" w:fill="FFFFFF"/>
        <w:spacing w:after="130" w:line="240" w:lineRule="auto"/>
        <w:jc w:val="both"/>
        <w:rPr>
          <w:rFonts w:ascii="Verdana" w:eastAsia="Times New Roman" w:hAnsi="Verdana" w:cs="Arial"/>
          <w:vanish/>
          <w:color w:val="565656"/>
          <w:sz w:val="16"/>
          <w:lang w:eastAsia="fr-FR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217"/>
      </w:tblGrid>
      <w:tr w:rsidR="00242CAE" w:rsidRPr="00242CAE" w:rsidTr="00242C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2CAE" w:rsidRPr="00242CAE" w:rsidRDefault="00242CAE" w:rsidP="00242CAE">
            <w:pPr>
              <w:spacing w:after="65" w:line="240" w:lineRule="auto"/>
              <w:ind w:left="259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486D"/>
                <w:sz w:val="17"/>
                <w:szCs w:val="17"/>
                <w:lang w:eastAsia="fr-FR"/>
              </w:rPr>
            </w:pPr>
            <w:r w:rsidRPr="00242CAE">
              <w:rPr>
                <w:rFonts w:ascii="Times New Roman" w:eastAsia="Times New Roman" w:hAnsi="Times New Roman" w:cs="Times New Roman"/>
                <w:b/>
                <w:bCs/>
                <w:color w:val="00486D"/>
                <w:sz w:val="17"/>
                <w:szCs w:val="17"/>
                <w:lang w:eastAsia="fr-FR"/>
              </w:rPr>
              <w:t>Background</w:t>
            </w:r>
          </w:p>
        </w:tc>
      </w:tr>
    </w:tbl>
    <w:p w:rsidR="00242CAE" w:rsidRPr="00242CAE" w:rsidRDefault="00242CAE" w:rsidP="00242CAE">
      <w:pPr>
        <w:shd w:val="clear" w:color="auto" w:fill="FFFFFF"/>
        <w:spacing w:before="26" w:after="130" w:line="195" w:lineRule="atLeast"/>
        <w:ind w:right="324"/>
        <w:jc w:val="both"/>
        <w:rPr>
          <w:rFonts w:ascii="Times New Roman" w:eastAsia="Times New Roman" w:hAnsi="Times New Roman" w:cs="Arial"/>
          <w:sz w:val="24"/>
          <w:szCs w:val="24"/>
          <w:lang w:eastAsia="fr-FR"/>
        </w:rPr>
      </w:pPr>
      <w:r w:rsidRPr="00242CAE">
        <w:rPr>
          <w:rFonts w:ascii="Verdana" w:eastAsia="Times New Roman" w:hAnsi="Verdana" w:cs="Arial"/>
          <w:color w:val="565656"/>
          <w:sz w:val="16"/>
          <w:szCs w:val="16"/>
          <w:lang w:val="en-US" w:eastAsia="fr-FR"/>
        </w:rPr>
        <w:t xml:space="preserve">Exercise-induced thrombosis is a rare cause of deep venous thrombosis (DVT) of the upper limb and usually affects young subjects without </w:t>
      </w:r>
      <w:proofErr w:type="spellStart"/>
      <w:r w:rsidRPr="00242CAE">
        <w:rPr>
          <w:rFonts w:ascii="Verdana" w:eastAsia="Times New Roman" w:hAnsi="Verdana" w:cs="Arial"/>
          <w:color w:val="565656"/>
          <w:sz w:val="16"/>
          <w:szCs w:val="16"/>
          <w:lang w:val="en-US" w:eastAsia="fr-FR"/>
        </w:rPr>
        <w:t>comorbid</w:t>
      </w:r>
      <w:proofErr w:type="spellEnd"/>
      <w:r w:rsidRPr="00242CAE">
        <w:rPr>
          <w:rFonts w:ascii="Verdana" w:eastAsia="Times New Roman" w:hAnsi="Verdana" w:cs="Arial"/>
          <w:color w:val="565656"/>
          <w:sz w:val="16"/>
          <w:szCs w:val="16"/>
          <w:lang w:val="en-US" w:eastAsia="fr-FR"/>
        </w:rPr>
        <w:t xml:space="preserve"> conditions. </w:t>
      </w:r>
      <w:r w:rsidRPr="00242CAE">
        <w:rPr>
          <w:rFonts w:ascii="Verdana" w:eastAsia="Times New Roman" w:hAnsi="Verdana" w:cs="Arial"/>
          <w:color w:val="565656"/>
          <w:sz w:val="16"/>
          <w:szCs w:val="16"/>
          <w:lang w:eastAsia="fr-FR"/>
        </w:rPr>
        <w:t xml:space="preserve">The </w:t>
      </w:r>
      <w:proofErr w:type="spellStart"/>
      <w:r w:rsidRPr="00242CAE">
        <w:rPr>
          <w:rFonts w:ascii="Verdana" w:eastAsia="Times New Roman" w:hAnsi="Verdana" w:cs="Arial"/>
          <w:color w:val="565656"/>
          <w:sz w:val="16"/>
          <w:szCs w:val="16"/>
          <w:lang w:eastAsia="fr-FR"/>
        </w:rPr>
        <w:t>diagnosis</w:t>
      </w:r>
      <w:proofErr w:type="spellEnd"/>
      <w:r w:rsidRPr="00242CAE">
        <w:rPr>
          <w:rFonts w:ascii="Verdana" w:eastAsia="Times New Roman" w:hAnsi="Verdana" w:cs="Arial"/>
          <w:color w:val="565656"/>
          <w:sz w:val="16"/>
          <w:szCs w:val="16"/>
          <w:lang w:eastAsia="fr-FR"/>
        </w:rPr>
        <w:t xml:space="preserve"> </w:t>
      </w:r>
      <w:proofErr w:type="spellStart"/>
      <w:r w:rsidRPr="00242CAE">
        <w:rPr>
          <w:rFonts w:ascii="Verdana" w:eastAsia="Times New Roman" w:hAnsi="Verdana" w:cs="Arial"/>
          <w:color w:val="565656"/>
          <w:sz w:val="16"/>
          <w:szCs w:val="16"/>
          <w:lang w:eastAsia="fr-FR"/>
        </w:rPr>
        <w:t>may</w:t>
      </w:r>
      <w:proofErr w:type="spellEnd"/>
      <w:r w:rsidRPr="00242CAE">
        <w:rPr>
          <w:rFonts w:ascii="Verdana" w:eastAsia="Times New Roman" w:hAnsi="Verdana" w:cs="Arial"/>
          <w:color w:val="565656"/>
          <w:sz w:val="16"/>
          <w:szCs w:val="16"/>
          <w:lang w:eastAsia="fr-FR"/>
        </w:rPr>
        <w:t xml:space="preserve"> </w:t>
      </w:r>
      <w:proofErr w:type="spellStart"/>
      <w:r w:rsidRPr="00242CAE">
        <w:rPr>
          <w:rFonts w:ascii="Verdana" w:eastAsia="Times New Roman" w:hAnsi="Verdana" w:cs="Arial"/>
          <w:color w:val="565656"/>
          <w:sz w:val="16"/>
          <w:szCs w:val="16"/>
          <w:lang w:eastAsia="fr-FR"/>
        </w:rPr>
        <w:t>be</w:t>
      </w:r>
      <w:proofErr w:type="spellEnd"/>
      <w:r w:rsidRPr="00242CAE">
        <w:rPr>
          <w:rFonts w:ascii="Verdana" w:eastAsia="Times New Roman" w:hAnsi="Verdana" w:cs="Arial"/>
          <w:color w:val="565656"/>
          <w:sz w:val="16"/>
          <w:szCs w:val="16"/>
          <w:lang w:eastAsia="fr-FR"/>
        </w:rPr>
        <w:t xml:space="preserve"> </w:t>
      </w:r>
      <w:proofErr w:type="spellStart"/>
      <w:r w:rsidRPr="00242CAE">
        <w:rPr>
          <w:rFonts w:ascii="Verdana" w:eastAsia="Times New Roman" w:hAnsi="Verdana" w:cs="Arial"/>
          <w:color w:val="565656"/>
          <w:sz w:val="16"/>
          <w:szCs w:val="16"/>
          <w:lang w:eastAsia="fr-FR"/>
        </w:rPr>
        <w:t>challenging</w:t>
      </w:r>
      <w:proofErr w:type="spellEnd"/>
      <w:r w:rsidRPr="00242CAE">
        <w:rPr>
          <w:rFonts w:ascii="Verdana" w:eastAsia="Times New Roman" w:hAnsi="Verdana" w:cs="Arial"/>
          <w:color w:val="565656"/>
          <w:sz w:val="16"/>
          <w:szCs w:val="16"/>
          <w:lang w:eastAsia="fr-FR"/>
        </w:rPr>
        <w:t>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174"/>
      </w:tblGrid>
      <w:tr w:rsidR="00242CAE" w:rsidRPr="00242CAE" w:rsidTr="00242C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2CAE" w:rsidRPr="00242CAE" w:rsidRDefault="00242CAE" w:rsidP="00242CAE">
            <w:pPr>
              <w:spacing w:after="65" w:line="240" w:lineRule="auto"/>
              <w:ind w:left="259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486D"/>
                <w:sz w:val="17"/>
                <w:szCs w:val="17"/>
                <w:lang w:eastAsia="fr-FR"/>
              </w:rPr>
            </w:pPr>
            <w:r w:rsidRPr="00242CAE">
              <w:rPr>
                <w:rFonts w:ascii="Times New Roman" w:eastAsia="Times New Roman" w:hAnsi="Times New Roman" w:cs="Times New Roman"/>
                <w:b/>
                <w:bCs/>
                <w:color w:val="00486D"/>
                <w:sz w:val="17"/>
                <w:szCs w:val="17"/>
                <w:lang w:eastAsia="fr-FR"/>
              </w:rPr>
              <w:t>Case report</w:t>
            </w:r>
          </w:p>
        </w:tc>
      </w:tr>
    </w:tbl>
    <w:p w:rsidR="00242CAE" w:rsidRPr="00242CAE" w:rsidRDefault="00242CAE" w:rsidP="00242CAE">
      <w:pPr>
        <w:shd w:val="clear" w:color="auto" w:fill="FFFFFF"/>
        <w:spacing w:after="130" w:line="195" w:lineRule="atLeast"/>
        <w:ind w:right="324"/>
        <w:jc w:val="both"/>
        <w:rPr>
          <w:rFonts w:ascii="Verdana" w:eastAsia="Times New Roman" w:hAnsi="Verdana" w:cs="Arial"/>
          <w:color w:val="565656"/>
          <w:sz w:val="16"/>
          <w:szCs w:val="16"/>
          <w:lang w:val="en-US" w:eastAsia="fr-FR"/>
        </w:rPr>
      </w:pPr>
      <w:r w:rsidRPr="00242CAE">
        <w:rPr>
          <w:rFonts w:ascii="Verdana" w:eastAsia="Times New Roman" w:hAnsi="Verdana" w:cs="Arial"/>
          <w:color w:val="565656"/>
          <w:sz w:val="16"/>
          <w:szCs w:val="16"/>
          <w:lang w:val="en-US" w:eastAsia="fr-FR"/>
        </w:rPr>
        <w:t xml:space="preserve">A 23-year-old female right-handed French teacher and amateur violin player presented with edema of the root of the right arm associated with </w:t>
      </w:r>
      <w:proofErr w:type="spellStart"/>
      <w:r w:rsidRPr="00242CAE">
        <w:rPr>
          <w:rFonts w:ascii="Verdana" w:eastAsia="Times New Roman" w:hAnsi="Verdana" w:cs="Arial"/>
          <w:color w:val="565656"/>
          <w:sz w:val="16"/>
          <w:szCs w:val="16"/>
          <w:lang w:val="en-US" w:eastAsia="fr-FR"/>
        </w:rPr>
        <w:t>erythrocyanosis</w:t>
      </w:r>
      <w:proofErr w:type="spellEnd"/>
      <w:r w:rsidRPr="00242CAE">
        <w:rPr>
          <w:rFonts w:ascii="Verdana" w:eastAsia="Times New Roman" w:hAnsi="Verdana" w:cs="Arial"/>
          <w:color w:val="565656"/>
          <w:sz w:val="16"/>
          <w:szCs w:val="16"/>
          <w:lang w:val="en-US" w:eastAsia="fr-FR"/>
        </w:rPr>
        <w:t xml:space="preserve"> of the extremity and collateral circulation of the shoulder. History taking revealed oral contraception and recent change in violin playing habits. D-</w:t>
      </w:r>
      <w:proofErr w:type="spellStart"/>
      <w:r w:rsidRPr="00242CAE">
        <w:rPr>
          <w:rFonts w:ascii="Verdana" w:eastAsia="Times New Roman" w:hAnsi="Verdana" w:cs="Arial"/>
          <w:color w:val="565656"/>
          <w:sz w:val="16"/>
          <w:szCs w:val="16"/>
          <w:lang w:val="en-US" w:eastAsia="fr-FR"/>
        </w:rPr>
        <w:t>dimers</w:t>
      </w:r>
      <w:proofErr w:type="spellEnd"/>
      <w:r w:rsidRPr="00242CAE">
        <w:rPr>
          <w:rFonts w:ascii="Verdana" w:eastAsia="Times New Roman" w:hAnsi="Verdana" w:cs="Arial"/>
          <w:color w:val="565656"/>
          <w:sz w:val="16"/>
          <w:szCs w:val="16"/>
          <w:lang w:val="en-US" w:eastAsia="fr-FR"/>
        </w:rPr>
        <w:t xml:space="preserve"> were negative. A second duplex-Doppler was required before visualization of a DVT in the right </w:t>
      </w:r>
      <w:proofErr w:type="spellStart"/>
      <w:r w:rsidRPr="00242CAE">
        <w:rPr>
          <w:rFonts w:ascii="Verdana" w:eastAsia="Times New Roman" w:hAnsi="Verdana" w:cs="Arial"/>
          <w:color w:val="565656"/>
          <w:sz w:val="16"/>
          <w:szCs w:val="16"/>
          <w:lang w:val="en-US" w:eastAsia="fr-FR"/>
        </w:rPr>
        <w:t>subclavian</w:t>
      </w:r>
      <w:proofErr w:type="spellEnd"/>
      <w:r w:rsidRPr="00242CAE">
        <w:rPr>
          <w:rFonts w:ascii="Verdana" w:eastAsia="Times New Roman" w:hAnsi="Verdana" w:cs="Arial"/>
          <w:color w:val="565656"/>
          <w:sz w:val="16"/>
          <w:szCs w:val="16"/>
          <w:lang w:val="en-US" w:eastAsia="fr-FR"/>
        </w:rPr>
        <w:t xml:space="preserve"> vein. The patient was given low-molecular-weight heparin alone, followed by </w:t>
      </w:r>
      <w:proofErr w:type="spellStart"/>
      <w:r w:rsidRPr="00242CAE">
        <w:rPr>
          <w:rFonts w:ascii="Verdana" w:eastAsia="Times New Roman" w:hAnsi="Verdana" w:cs="Arial"/>
          <w:color w:val="565656"/>
          <w:sz w:val="16"/>
          <w:szCs w:val="16"/>
          <w:lang w:val="en-US" w:eastAsia="fr-FR"/>
        </w:rPr>
        <w:t>rivaroxaban</w:t>
      </w:r>
      <w:proofErr w:type="spellEnd"/>
      <w:r w:rsidRPr="00242CAE">
        <w:rPr>
          <w:rFonts w:ascii="Verdana" w:eastAsia="Times New Roman" w:hAnsi="Verdana" w:cs="Arial"/>
          <w:color w:val="565656"/>
          <w:sz w:val="16"/>
          <w:szCs w:val="16"/>
          <w:lang w:val="en-US" w:eastAsia="fr-FR"/>
        </w:rPr>
        <w:t>. The outcome was very favorable at 48h. The patient was seen at 4 months and had not had a recurrent episode.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85"/>
      </w:tblGrid>
      <w:tr w:rsidR="00242CAE" w:rsidRPr="00242CAE" w:rsidTr="00242C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2CAE" w:rsidRPr="00242CAE" w:rsidRDefault="00242CAE" w:rsidP="00242CAE">
            <w:pPr>
              <w:spacing w:after="65" w:line="240" w:lineRule="auto"/>
              <w:ind w:left="259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486D"/>
                <w:sz w:val="17"/>
                <w:szCs w:val="17"/>
                <w:lang w:eastAsia="fr-FR"/>
              </w:rPr>
            </w:pPr>
            <w:r w:rsidRPr="00242CAE">
              <w:rPr>
                <w:rFonts w:ascii="Times New Roman" w:eastAsia="Times New Roman" w:hAnsi="Times New Roman" w:cs="Times New Roman"/>
                <w:b/>
                <w:bCs/>
                <w:color w:val="00486D"/>
                <w:sz w:val="17"/>
                <w:szCs w:val="17"/>
                <w:lang w:eastAsia="fr-FR"/>
              </w:rPr>
              <w:t>Discussion</w:t>
            </w:r>
          </w:p>
        </w:tc>
      </w:tr>
    </w:tbl>
    <w:p w:rsidR="00242CAE" w:rsidRPr="00242CAE" w:rsidRDefault="00242CAE" w:rsidP="00242CAE">
      <w:pPr>
        <w:shd w:val="clear" w:color="auto" w:fill="FFFFFF"/>
        <w:spacing w:before="26" w:after="130" w:line="195" w:lineRule="atLeast"/>
        <w:ind w:right="324"/>
        <w:jc w:val="both"/>
        <w:rPr>
          <w:rFonts w:ascii="Verdana" w:eastAsia="Times New Roman" w:hAnsi="Verdana" w:cs="Arial"/>
          <w:color w:val="565656"/>
          <w:sz w:val="16"/>
          <w:szCs w:val="16"/>
          <w:lang w:val="en-US" w:eastAsia="fr-FR"/>
        </w:rPr>
      </w:pPr>
      <w:r w:rsidRPr="00242CAE">
        <w:rPr>
          <w:rFonts w:ascii="Verdana" w:eastAsia="Times New Roman" w:hAnsi="Verdana" w:cs="Arial"/>
          <w:color w:val="565656"/>
          <w:sz w:val="16"/>
          <w:szCs w:val="16"/>
          <w:lang w:val="en-US" w:eastAsia="fr-FR"/>
        </w:rPr>
        <w:t xml:space="preserve">The diagnosis of DVT of the upper limb is basically clinical. There is a clinical probability score for the introduction of anticoagulation even if the duplex-Doppler fails to visualize DVT, a situation that can occur </w:t>
      </w:r>
      <w:r w:rsidRPr="00242CAE">
        <w:rPr>
          <w:rFonts w:ascii="Verdana" w:eastAsia="Times New Roman" w:hAnsi="Verdana" w:cs="Arial"/>
          <w:color w:val="565656"/>
          <w:sz w:val="16"/>
          <w:szCs w:val="16"/>
          <w:lang w:val="en-US" w:eastAsia="fr-FR"/>
        </w:rPr>
        <w:lastRenderedPageBreak/>
        <w:t xml:space="preserve">due to the </w:t>
      </w:r>
      <w:proofErr w:type="spellStart"/>
      <w:r w:rsidRPr="00242CAE">
        <w:rPr>
          <w:rFonts w:ascii="Verdana" w:eastAsia="Times New Roman" w:hAnsi="Verdana" w:cs="Arial"/>
          <w:color w:val="565656"/>
          <w:sz w:val="16"/>
          <w:szCs w:val="16"/>
          <w:lang w:val="en-US" w:eastAsia="fr-FR"/>
        </w:rPr>
        <w:t>clavicular</w:t>
      </w:r>
      <w:proofErr w:type="spellEnd"/>
      <w:r w:rsidRPr="00242CAE">
        <w:rPr>
          <w:rFonts w:ascii="Verdana" w:eastAsia="Times New Roman" w:hAnsi="Verdana" w:cs="Arial"/>
          <w:color w:val="565656"/>
          <w:sz w:val="16"/>
          <w:szCs w:val="16"/>
          <w:lang w:val="en-US" w:eastAsia="fr-FR"/>
        </w:rPr>
        <w:t xml:space="preserve"> superposition in this region. Exercise-induced DVT should be suspected in patients with minimally intense but repeated exercise (hyper-abduction), e.g. as here playing the violin. Anticoagulation is the treatment of choice. The role for surgery and </w:t>
      </w:r>
      <w:proofErr w:type="spellStart"/>
      <w:r w:rsidRPr="00242CAE">
        <w:rPr>
          <w:rFonts w:ascii="Verdana" w:eastAsia="Times New Roman" w:hAnsi="Verdana" w:cs="Arial"/>
          <w:color w:val="565656"/>
          <w:sz w:val="16"/>
          <w:szCs w:val="16"/>
          <w:lang w:val="en-US" w:eastAsia="fr-FR"/>
        </w:rPr>
        <w:t>pharmacomechanical</w:t>
      </w:r>
      <w:proofErr w:type="spellEnd"/>
      <w:r w:rsidRPr="00242CAE">
        <w:rPr>
          <w:rFonts w:ascii="Verdana" w:eastAsia="Times New Roman" w:hAnsi="Verdana" w:cs="Arial"/>
          <w:color w:val="565656"/>
          <w:sz w:val="16"/>
          <w:szCs w:val="16"/>
          <w:lang w:val="en-US" w:eastAsia="fr-FR"/>
        </w:rPr>
        <w:t xml:space="preserve"> strategies remains to be defined.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132"/>
      </w:tblGrid>
      <w:tr w:rsidR="00242CAE" w:rsidRPr="00242CAE" w:rsidTr="00242C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2CAE" w:rsidRPr="00242CAE" w:rsidRDefault="00242CAE" w:rsidP="00242CAE">
            <w:pPr>
              <w:spacing w:after="65" w:line="240" w:lineRule="auto"/>
              <w:ind w:left="259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486D"/>
                <w:sz w:val="17"/>
                <w:szCs w:val="17"/>
                <w:lang w:eastAsia="fr-FR"/>
              </w:rPr>
            </w:pPr>
            <w:r w:rsidRPr="00242CAE">
              <w:rPr>
                <w:rFonts w:ascii="Times New Roman" w:eastAsia="Times New Roman" w:hAnsi="Times New Roman" w:cs="Times New Roman"/>
                <w:b/>
                <w:bCs/>
                <w:color w:val="00486D"/>
                <w:sz w:val="17"/>
                <w:szCs w:val="17"/>
                <w:lang w:eastAsia="fr-FR"/>
              </w:rPr>
              <w:t>Conclusion</w:t>
            </w:r>
          </w:p>
        </w:tc>
      </w:tr>
    </w:tbl>
    <w:p w:rsidR="00242CAE" w:rsidRPr="00242CAE" w:rsidRDefault="00242CAE" w:rsidP="00242CAE">
      <w:pPr>
        <w:shd w:val="clear" w:color="auto" w:fill="FFFFFF"/>
        <w:spacing w:before="26" w:after="130" w:line="195" w:lineRule="atLeast"/>
        <w:ind w:right="324"/>
        <w:jc w:val="both"/>
        <w:rPr>
          <w:rFonts w:ascii="Verdana" w:eastAsia="Times New Roman" w:hAnsi="Verdana" w:cs="Arial"/>
          <w:color w:val="565656"/>
          <w:sz w:val="16"/>
          <w:szCs w:val="16"/>
          <w:lang w:val="en-US" w:eastAsia="fr-FR"/>
        </w:rPr>
      </w:pPr>
      <w:r w:rsidRPr="00242CAE">
        <w:rPr>
          <w:rFonts w:ascii="Verdana" w:eastAsia="Times New Roman" w:hAnsi="Verdana" w:cs="Arial"/>
          <w:color w:val="565656"/>
          <w:sz w:val="16"/>
          <w:szCs w:val="16"/>
          <w:lang w:val="en-US" w:eastAsia="fr-FR"/>
        </w:rPr>
        <w:t>Exercise-induced thrombosis (Paget-</w:t>
      </w:r>
      <w:proofErr w:type="spellStart"/>
      <w:r w:rsidRPr="00242CAE">
        <w:rPr>
          <w:rFonts w:ascii="Verdana" w:eastAsia="Times New Roman" w:hAnsi="Verdana" w:cs="Arial"/>
          <w:color w:val="565656"/>
          <w:sz w:val="16"/>
          <w:szCs w:val="16"/>
          <w:lang w:val="en-US" w:eastAsia="fr-FR"/>
        </w:rPr>
        <w:t>Schroetter</w:t>
      </w:r>
      <w:proofErr w:type="spellEnd"/>
      <w:r w:rsidRPr="00242CAE">
        <w:rPr>
          <w:rFonts w:ascii="Verdana" w:eastAsia="Times New Roman" w:hAnsi="Verdana" w:cs="Arial"/>
          <w:color w:val="565656"/>
          <w:sz w:val="16"/>
          <w:szCs w:val="16"/>
          <w:lang w:val="en-US" w:eastAsia="fr-FR"/>
        </w:rPr>
        <w:t xml:space="preserve"> syndrome) should be suspected in young patients free of any </w:t>
      </w:r>
      <w:proofErr w:type="spellStart"/>
      <w:r w:rsidRPr="00242CAE">
        <w:rPr>
          <w:rFonts w:ascii="Verdana" w:eastAsia="Times New Roman" w:hAnsi="Verdana" w:cs="Arial"/>
          <w:color w:val="565656"/>
          <w:sz w:val="16"/>
          <w:szCs w:val="16"/>
          <w:lang w:val="en-US" w:eastAsia="fr-FR"/>
        </w:rPr>
        <w:t>comorbidity</w:t>
      </w:r>
      <w:proofErr w:type="spellEnd"/>
      <w:r w:rsidRPr="00242CAE">
        <w:rPr>
          <w:rFonts w:ascii="Verdana" w:eastAsia="Times New Roman" w:hAnsi="Verdana" w:cs="Arial"/>
          <w:color w:val="565656"/>
          <w:sz w:val="16"/>
          <w:szCs w:val="16"/>
          <w:lang w:val="en-US" w:eastAsia="fr-FR"/>
        </w:rPr>
        <w:t xml:space="preserve"> who develop a thrombosis of the upper limb. Studies comparing different therapeutic options would be useful to achieve more homogeneous management practices despite the heterogeneous clinical presentations.</w:t>
      </w:r>
    </w:p>
    <w:p w:rsidR="00242CAE" w:rsidRPr="00242CAE" w:rsidRDefault="00242CAE" w:rsidP="00242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fr-FR"/>
        </w:rPr>
      </w:pPr>
      <w:r w:rsidRPr="00242CAE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Le texte complet de cet article est disponible en PDF.</w:t>
      </w:r>
    </w:p>
    <w:p w:rsidR="00242CAE" w:rsidRPr="00242CAE" w:rsidRDefault="00242CAE" w:rsidP="00242CAE">
      <w:pPr>
        <w:shd w:val="clear" w:color="auto" w:fill="FFFFFF"/>
        <w:spacing w:after="0" w:line="195" w:lineRule="atLeast"/>
        <w:ind w:right="324"/>
        <w:rPr>
          <w:rFonts w:ascii="Verdana" w:eastAsia="Times New Roman" w:hAnsi="Verdana" w:cs="Arial"/>
          <w:color w:val="000000"/>
          <w:sz w:val="16"/>
          <w:szCs w:val="16"/>
          <w:lang w:eastAsia="fr-FR"/>
        </w:rPr>
      </w:pPr>
      <w:r w:rsidRPr="00242CAE">
        <w:rPr>
          <w:rFonts w:ascii="Verdana" w:eastAsia="Times New Roman" w:hAnsi="Verdana" w:cs="Arial"/>
          <w:b/>
          <w:bCs/>
          <w:i/>
          <w:iCs/>
          <w:color w:val="565656"/>
          <w:sz w:val="16"/>
          <w:lang w:eastAsia="fr-FR"/>
        </w:rPr>
        <w:t>Mots clés : </w:t>
      </w:r>
      <w:r w:rsidRPr="00242CAE">
        <w:rPr>
          <w:rFonts w:ascii="Verdana" w:eastAsia="Times New Roman" w:hAnsi="Verdana" w:cs="Arial"/>
          <w:i/>
          <w:iCs/>
          <w:color w:val="565656"/>
          <w:sz w:val="16"/>
          <w:lang w:eastAsia="fr-FR"/>
        </w:rPr>
        <w:t>Thrombose veineuse d’effort, Thrombose veineuse du membre supérieur, Syndrome de Paget-</w:t>
      </w:r>
      <w:proofErr w:type="spellStart"/>
      <w:r w:rsidRPr="00242CAE">
        <w:rPr>
          <w:rFonts w:ascii="Verdana" w:eastAsia="Times New Roman" w:hAnsi="Verdana" w:cs="Arial"/>
          <w:i/>
          <w:iCs/>
          <w:color w:val="565656"/>
          <w:sz w:val="16"/>
          <w:lang w:eastAsia="fr-FR"/>
        </w:rPr>
        <w:t>Schroetter</w:t>
      </w:r>
      <w:proofErr w:type="spellEnd"/>
    </w:p>
    <w:p w:rsidR="00242CAE" w:rsidRPr="00242CAE" w:rsidRDefault="00242CAE" w:rsidP="00242CAE">
      <w:pPr>
        <w:shd w:val="clear" w:color="auto" w:fill="FFFFFF"/>
        <w:spacing w:after="0" w:line="195" w:lineRule="atLeast"/>
        <w:ind w:right="324"/>
        <w:rPr>
          <w:rFonts w:ascii="Verdana" w:eastAsia="Times New Roman" w:hAnsi="Verdana" w:cs="Arial"/>
          <w:color w:val="000000"/>
          <w:sz w:val="16"/>
          <w:szCs w:val="16"/>
          <w:lang w:val="en-US" w:eastAsia="fr-FR"/>
        </w:rPr>
      </w:pPr>
      <w:proofErr w:type="gramStart"/>
      <w:r w:rsidRPr="00242CAE">
        <w:rPr>
          <w:rFonts w:ascii="Verdana" w:eastAsia="Times New Roman" w:hAnsi="Verdana" w:cs="Arial"/>
          <w:b/>
          <w:bCs/>
          <w:i/>
          <w:iCs/>
          <w:color w:val="565656"/>
          <w:sz w:val="16"/>
          <w:lang w:val="en-US" w:eastAsia="fr-FR"/>
        </w:rPr>
        <w:t>Keywords :</w:t>
      </w:r>
      <w:proofErr w:type="gramEnd"/>
      <w:r w:rsidRPr="00242CAE">
        <w:rPr>
          <w:rFonts w:ascii="Verdana" w:eastAsia="Times New Roman" w:hAnsi="Verdana" w:cs="Arial"/>
          <w:b/>
          <w:bCs/>
          <w:i/>
          <w:iCs/>
          <w:color w:val="565656"/>
          <w:sz w:val="16"/>
          <w:lang w:val="en-US" w:eastAsia="fr-FR"/>
        </w:rPr>
        <w:t> </w:t>
      </w:r>
      <w:r w:rsidRPr="00242CAE">
        <w:rPr>
          <w:rFonts w:ascii="Verdana" w:eastAsia="Times New Roman" w:hAnsi="Verdana" w:cs="Arial"/>
          <w:i/>
          <w:iCs/>
          <w:color w:val="565656"/>
          <w:sz w:val="16"/>
          <w:lang w:val="en-US" w:eastAsia="fr-FR"/>
        </w:rPr>
        <w:t>Exercise-induced venous thrombosis, Deep venous thrombosis, Upper limb, Paget-</w:t>
      </w:r>
      <w:proofErr w:type="spellStart"/>
      <w:r w:rsidRPr="00242CAE">
        <w:rPr>
          <w:rFonts w:ascii="Verdana" w:eastAsia="Times New Roman" w:hAnsi="Verdana" w:cs="Arial"/>
          <w:i/>
          <w:iCs/>
          <w:color w:val="565656"/>
          <w:sz w:val="16"/>
          <w:lang w:val="en-US" w:eastAsia="fr-FR"/>
        </w:rPr>
        <w:t>Schroetter</w:t>
      </w:r>
      <w:proofErr w:type="spellEnd"/>
    </w:p>
    <w:p w:rsidR="00242CAE" w:rsidRPr="00242CAE" w:rsidRDefault="00242CAE" w:rsidP="00242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val="en-US" w:eastAsia="fr-FR"/>
        </w:rPr>
      </w:pPr>
    </w:p>
    <w:p w:rsidR="00242CAE" w:rsidRPr="00242CAE" w:rsidRDefault="00242CAE" w:rsidP="00242CAE">
      <w:pPr>
        <w:shd w:val="clear" w:color="auto" w:fill="FFFFFF"/>
        <w:spacing w:before="26" w:after="65" w:line="240" w:lineRule="auto"/>
        <w:jc w:val="both"/>
        <w:outlineLvl w:val="1"/>
        <w:rPr>
          <w:rFonts w:ascii="Arial" w:eastAsia="Times New Roman" w:hAnsi="Arial" w:cs="Arial"/>
          <w:i/>
          <w:iCs/>
          <w:color w:val="E05800"/>
          <w:sz w:val="29"/>
          <w:szCs w:val="29"/>
          <w:lang w:eastAsia="fr-FR"/>
        </w:rPr>
      </w:pPr>
      <w:r w:rsidRPr="00242CAE">
        <w:rPr>
          <w:rFonts w:ascii="Arial" w:eastAsia="Times New Roman" w:hAnsi="Arial" w:cs="Arial"/>
          <w:i/>
          <w:iCs/>
          <w:color w:val="E05800"/>
          <w:sz w:val="29"/>
          <w:szCs w:val="29"/>
          <w:lang w:eastAsia="fr-FR"/>
        </w:rPr>
        <w:t>Plan</w:t>
      </w:r>
    </w:p>
    <w:p w:rsidR="00242CAE" w:rsidRPr="00242CAE" w:rsidRDefault="00242CAE" w:rsidP="00242CAE">
      <w:pPr>
        <w:shd w:val="clear" w:color="auto" w:fill="FFFFFF"/>
        <w:spacing w:after="65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fr-FR"/>
        </w:rPr>
      </w:pPr>
      <w:r w:rsidRPr="00242CAE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Introduction</w:t>
      </w:r>
    </w:p>
    <w:p w:rsidR="00242CAE" w:rsidRPr="00242CAE" w:rsidRDefault="00242CAE" w:rsidP="00242CAE">
      <w:pPr>
        <w:shd w:val="clear" w:color="auto" w:fill="FFFFFF"/>
        <w:spacing w:after="65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fr-FR"/>
        </w:rPr>
      </w:pPr>
      <w:r w:rsidRPr="00242CAE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Cas clinique</w:t>
      </w:r>
    </w:p>
    <w:p w:rsidR="00242CAE" w:rsidRPr="00242CAE" w:rsidRDefault="00242CAE" w:rsidP="00242C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fr-FR"/>
        </w:rPr>
      </w:pPr>
      <w:r w:rsidRPr="00242CAE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Discussion</w:t>
      </w:r>
    </w:p>
    <w:p w:rsidR="00242CAE" w:rsidRPr="00242CAE" w:rsidRDefault="00242CAE" w:rsidP="00242CAE">
      <w:pPr>
        <w:shd w:val="clear" w:color="auto" w:fill="FFFFFF"/>
        <w:spacing w:after="39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fr-FR"/>
        </w:rPr>
      </w:pPr>
      <w:r w:rsidRPr="00242CAE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La forte suspicion clinique de TVP du membre supérieur doit faire réitérer l’écho-Doppler</w:t>
      </w:r>
    </w:p>
    <w:p w:rsidR="00242CAE" w:rsidRPr="00242CAE" w:rsidRDefault="00242CAE" w:rsidP="00242CAE">
      <w:pPr>
        <w:shd w:val="clear" w:color="auto" w:fill="FFFFFF"/>
        <w:spacing w:after="39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fr-FR"/>
        </w:rPr>
      </w:pPr>
      <w:r w:rsidRPr="00242CAE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Des arguments simples permettent d’évoquer une thrombose d’effort</w:t>
      </w:r>
    </w:p>
    <w:p w:rsidR="00242CAE" w:rsidRPr="00242CAE" w:rsidRDefault="00242CAE" w:rsidP="00242CAE">
      <w:pPr>
        <w:shd w:val="clear" w:color="auto" w:fill="FFFFFF"/>
        <w:spacing w:after="65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fr-FR"/>
        </w:rPr>
      </w:pPr>
      <w:r w:rsidRPr="00242CAE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Les anticoagulants restent le traitement de référence des TVP du membre supérieur tandis que les indications des méthodes pharmaco-mécaniques doivent être précisées</w:t>
      </w:r>
    </w:p>
    <w:p w:rsidR="00242CAE" w:rsidRPr="00242CAE" w:rsidRDefault="00242CAE" w:rsidP="00242CAE">
      <w:pPr>
        <w:shd w:val="clear" w:color="auto" w:fill="FFFFFF"/>
        <w:spacing w:after="65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fr-FR"/>
        </w:rPr>
      </w:pPr>
      <w:r w:rsidRPr="00242CAE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Conclusion</w:t>
      </w:r>
    </w:p>
    <w:p w:rsidR="00242CAE" w:rsidRPr="00242CAE" w:rsidRDefault="00242CAE" w:rsidP="00242CAE">
      <w:pPr>
        <w:shd w:val="clear" w:color="auto" w:fill="FFFFFF"/>
        <w:spacing w:after="13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fr-FR"/>
        </w:rPr>
      </w:pPr>
      <w:r w:rsidRPr="00242CAE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Déclaration de liens d’intérêts</w:t>
      </w:r>
    </w:p>
    <w:p w:rsidR="00F5511A" w:rsidRDefault="00F5511A"/>
    <w:sectPr w:rsidR="00F5511A" w:rsidSect="00F55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90AD3"/>
    <w:multiLevelType w:val="multilevel"/>
    <w:tmpl w:val="160A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242CAE"/>
    <w:rsid w:val="00046DD8"/>
    <w:rsid w:val="00242CAE"/>
    <w:rsid w:val="003261BF"/>
    <w:rsid w:val="003C5901"/>
    <w:rsid w:val="00F5511A"/>
    <w:rsid w:val="00F7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11A"/>
  </w:style>
  <w:style w:type="paragraph" w:styleId="Titre1">
    <w:name w:val="heading 1"/>
    <w:basedOn w:val="Normal"/>
    <w:link w:val="Titre1Car"/>
    <w:uiPriority w:val="9"/>
    <w:qFormat/>
    <w:rsid w:val="00242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42C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link w:val="Titre4Car"/>
    <w:uiPriority w:val="9"/>
    <w:qFormat/>
    <w:rsid w:val="00242C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2CA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42CA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42CA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242CAE"/>
  </w:style>
  <w:style w:type="character" w:styleId="Lienhypertexte">
    <w:name w:val="Hyperlink"/>
    <w:basedOn w:val="Policepardfaut"/>
    <w:uiPriority w:val="99"/>
    <w:unhideWhenUsed/>
    <w:rsid w:val="00242CAE"/>
    <w:rPr>
      <w:color w:val="0000FF"/>
      <w:u w:val="single"/>
    </w:rPr>
  </w:style>
  <w:style w:type="character" w:customStyle="1" w:styleId="textenormal">
    <w:name w:val="textenormal"/>
    <w:basedOn w:val="Policepardfaut"/>
    <w:rsid w:val="00242CAE"/>
  </w:style>
  <w:style w:type="paragraph" w:customStyle="1" w:styleId="textenormal1">
    <w:name w:val="textenormal1"/>
    <w:basedOn w:val="Normal"/>
    <w:rsid w:val="0024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4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2626">
          <w:marLeft w:val="0"/>
          <w:marRight w:val="0"/>
          <w:marTop w:val="195"/>
          <w:marBottom w:val="0"/>
          <w:divBdr>
            <w:top w:val="single" w:sz="4" w:space="0" w:color="ADB4B2"/>
            <w:left w:val="single" w:sz="4" w:space="0" w:color="ADB4B2"/>
            <w:bottom w:val="single" w:sz="4" w:space="0" w:color="ADB4B2"/>
            <w:right w:val="single" w:sz="4" w:space="0" w:color="ADB4B2"/>
          </w:divBdr>
          <w:divsChild>
            <w:div w:id="953170913">
              <w:marLeft w:val="0"/>
              <w:marRight w:val="0"/>
              <w:marTop w:val="0"/>
              <w:marBottom w:val="0"/>
              <w:divBdr>
                <w:top w:val="single" w:sz="4" w:space="7" w:color="000000"/>
                <w:left w:val="none" w:sz="0" w:space="0" w:color="auto"/>
                <w:bottom w:val="single" w:sz="4" w:space="7" w:color="000000"/>
                <w:right w:val="none" w:sz="0" w:space="0" w:color="auto"/>
              </w:divBdr>
            </w:div>
            <w:div w:id="1616864386">
              <w:marLeft w:val="259"/>
              <w:marRight w:val="259"/>
              <w:marTop w:val="13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21303">
                      <w:marLeft w:val="259"/>
                      <w:marRight w:val="0"/>
                      <w:marTop w:val="0"/>
                      <w:marBottom w:val="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13045">
                      <w:marLeft w:val="259"/>
                      <w:marRight w:val="0"/>
                      <w:marTop w:val="0"/>
                      <w:marBottom w:val="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13931">
                      <w:marLeft w:val="259"/>
                      <w:marRight w:val="0"/>
                      <w:marTop w:val="0"/>
                      <w:marBottom w:val="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59223">
                          <w:marLeft w:val="169"/>
                          <w:marRight w:val="0"/>
                          <w:marTop w:val="39"/>
                          <w:marBottom w:val="3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94408">
                          <w:marLeft w:val="169"/>
                          <w:marRight w:val="0"/>
                          <w:marTop w:val="39"/>
                          <w:marBottom w:val="3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849263">
                          <w:marLeft w:val="169"/>
                          <w:marRight w:val="0"/>
                          <w:marTop w:val="39"/>
                          <w:marBottom w:val="3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057424">
                      <w:marLeft w:val="259"/>
                      <w:marRight w:val="0"/>
                      <w:marTop w:val="0"/>
                      <w:marBottom w:val="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06383">
                      <w:marLeft w:val="259"/>
                      <w:marRight w:val="0"/>
                      <w:marTop w:val="0"/>
                      <w:marBottom w:val="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sanson@hpsj.fr" TargetMode="External"/><Relationship Id="rId5" Type="http://schemas.openxmlformats.org/officeDocument/2006/relationships/hyperlink" Target="http://www.em-consulte.com/article/1093333/thrombose-veineuse-profonde-du-membre-superieur-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1</Pages>
  <Words>829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franceschi</dc:creator>
  <cp:keywords/>
  <dc:description/>
  <cp:lastModifiedBy>claude franceschi</cp:lastModifiedBy>
  <cp:revision>9</cp:revision>
  <dcterms:created xsi:type="dcterms:W3CDTF">2016-11-24T10:58:00Z</dcterms:created>
  <dcterms:modified xsi:type="dcterms:W3CDTF">2016-11-25T09:45:00Z</dcterms:modified>
</cp:coreProperties>
</file>