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7C" w:rsidRPr="00FD047C" w:rsidRDefault="00FD047C" w:rsidP="00FD047C">
      <w:pPr>
        <w:shd w:val="clear" w:color="auto" w:fill="FFFFFF"/>
        <w:spacing w:after="75" w:line="375" w:lineRule="atLeast"/>
        <w:rPr>
          <w:rFonts w:ascii="Arial" w:eastAsia="Times New Roman" w:hAnsi="Arial" w:cs="Arial"/>
          <w:color w:val="000000"/>
          <w:sz w:val="33"/>
          <w:szCs w:val="33"/>
          <w:lang w:val="fr-FR"/>
        </w:rPr>
      </w:pPr>
      <w:r w:rsidRPr="00FD047C">
        <w:rPr>
          <w:rFonts w:ascii="Arial" w:eastAsia="Times New Roman" w:hAnsi="Arial" w:cs="Arial"/>
          <w:b/>
          <w:bCs/>
          <w:color w:val="000000"/>
          <w:sz w:val="33"/>
          <w:szCs w:val="33"/>
          <w:lang w:val="fr-FR"/>
        </w:rPr>
        <w:t>Maladie thromboembolique veineuse : place des nouveaux anticoagulants</w:t>
      </w:r>
    </w:p>
    <w:tbl>
      <w:tblPr>
        <w:tblW w:w="5000" w:type="pct"/>
        <w:tblCellSpacing w:w="0" w:type="dxa"/>
        <w:tblBorders>
          <w:top w:val="single" w:sz="6" w:space="0" w:color="E6E6E6"/>
          <w:bottom w:val="single" w:sz="6" w:space="0" w:color="E6E6E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3"/>
        <w:gridCol w:w="6353"/>
      </w:tblGrid>
      <w:tr w:rsidR="00FD047C" w:rsidRPr="00FD047C" w:rsidTr="00FD047C">
        <w:trPr>
          <w:tblCellSpacing w:w="0" w:type="dxa"/>
        </w:trPr>
        <w:tc>
          <w:tcPr>
            <w:tcW w:w="0" w:type="auto"/>
            <w:vAlign w:val="center"/>
            <w:hideMark/>
          </w:tcPr>
          <w:p w:rsidR="00FD047C" w:rsidRPr="00FD047C" w:rsidRDefault="00FD047C" w:rsidP="00FD047C">
            <w:pPr>
              <w:spacing w:after="0" w:line="240" w:lineRule="auto"/>
              <w:rPr>
                <w:rFonts w:ascii="Arial" w:eastAsia="Times New Roman" w:hAnsi="Arial" w:cs="Arial"/>
                <w:color w:val="999999"/>
                <w:sz w:val="17"/>
                <w:szCs w:val="17"/>
              </w:rPr>
            </w:pPr>
            <w:proofErr w:type="spellStart"/>
            <w:r w:rsidRPr="00FD047C">
              <w:rPr>
                <w:rFonts w:ascii="Arial" w:eastAsia="Times New Roman" w:hAnsi="Arial" w:cs="Arial"/>
                <w:color w:val="999999"/>
                <w:sz w:val="17"/>
                <w:szCs w:val="17"/>
              </w:rPr>
              <w:t>Publié</w:t>
            </w:r>
            <w:proofErr w:type="spellEnd"/>
            <w:r w:rsidRPr="00FD047C">
              <w:rPr>
                <w:rFonts w:ascii="Arial" w:eastAsia="Times New Roman" w:hAnsi="Arial" w:cs="Arial"/>
                <w:color w:val="999999"/>
                <w:sz w:val="17"/>
                <w:szCs w:val="17"/>
              </w:rPr>
              <w:t xml:space="preserve"> le 13/12/2012</w:t>
            </w:r>
          </w:p>
        </w:tc>
        <w:tc>
          <w:tcPr>
            <w:tcW w:w="0" w:type="auto"/>
            <w:vAlign w:val="center"/>
            <w:hideMark/>
          </w:tcPr>
          <w:p w:rsidR="00FD047C" w:rsidRPr="00FD047C" w:rsidRDefault="00FD047C" w:rsidP="00FD047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FD047C">
              <w:rPr>
                <w:rFonts w:ascii="Arial" w:eastAsia="Times New Roman" w:hAnsi="Arial" w:cs="Arial"/>
                <w:noProof/>
                <w:color w:val="1E1E96"/>
                <w:sz w:val="24"/>
                <w:szCs w:val="24"/>
              </w:rPr>
              <w:drawing>
                <wp:inline distT="0" distB="0" distL="0" distR="0" wp14:anchorId="20DC854B" wp14:editId="46F25ECB">
                  <wp:extent cx="180975" cy="180975"/>
                  <wp:effectExtent l="0" t="0" r="9525" b="9525"/>
                  <wp:docPr id="1" name="Image 1" descr="Partager sur Twitter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artager sur Twitter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47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FD047C">
              <w:rPr>
                <w:rFonts w:ascii="Arial" w:eastAsia="Times New Roman" w:hAnsi="Arial" w:cs="Arial"/>
                <w:noProof/>
                <w:color w:val="1E1E96"/>
                <w:sz w:val="24"/>
                <w:szCs w:val="24"/>
              </w:rPr>
              <w:drawing>
                <wp:inline distT="0" distB="0" distL="0" distR="0" wp14:anchorId="5B2B75B3" wp14:editId="2D4F39B5">
                  <wp:extent cx="180975" cy="180975"/>
                  <wp:effectExtent l="0" t="0" r="9525" b="9525"/>
                  <wp:docPr id="2" name="Image 2" descr="Partager sur Facebook">
                    <a:hlinkClick xmlns:a="http://schemas.openxmlformats.org/drawingml/2006/main" r:id="rId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artager sur Facebook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47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FD047C">
              <w:rPr>
                <w:rFonts w:ascii="Arial" w:eastAsia="Times New Roman" w:hAnsi="Arial" w:cs="Arial"/>
                <w:noProof/>
                <w:color w:val="1E1E96"/>
                <w:sz w:val="24"/>
                <w:szCs w:val="24"/>
              </w:rPr>
              <w:drawing>
                <wp:inline distT="0" distB="0" distL="0" distR="0" wp14:anchorId="53659AE3" wp14:editId="7BF3D0E6">
                  <wp:extent cx="209550" cy="209550"/>
                  <wp:effectExtent l="0" t="0" r="0" b="0"/>
                  <wp:docPr id="3" name="Image 3" descr="Imprimer l'articl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primer l'articl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47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FD047C">
              <w:rPr>
                <w:rFonts w:ascii="Arial" w:eastAsia="Times New Roman" w:hAnsi="Arial" w:cs="Arial"/>
                <w:noProof/>
                <w:color w:val="1E1E96"/>
                <w:sz w:val="24"/>
                <w:szCs w:val="24"/>
              </w:rPr>
              <w:drawing>
                <wp:inline distT="0" distB="0" distL="0" distR="0" wp14:anchorId="53A210F9" wp14:editId="0B71FF3F">
                  <wp:extent cx="295275" cy="209550"/>
                  <wp:effectExtent l="0" t="0" r="9525" b="0"/>
                  <wp:docPr id="4" name="Image 4" descr="Envoyer à un confrère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nvoyer à un confrère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47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FD047C">
              <w:rPr>
                <w:rFonts w:ascii="Arial" w:eastAsia="Times New Roman" w:hAnsi="Arial" w:cs="Arial"/>
                <w:noProof/>
                <w:color w:val="1E1E96"/>
                <w:sz w:val="24"/>
                <w:szCs w:val="24"/>
              </w:rPr>
              <w:drawing>
                <wp:inline distT="0" distB="0" distL="0" distR="0" wp14:anchorId="2F59BEBF" wp14:editId="20F77B55">
                  <wp:extent cx="266700" cy="209550"/>
                  <wp:effectExtent l="0" t="0" r="0" b="0"/>
                  <wp:docPr id="5" name="Image 5" descr="Réagir à l'article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éagir à l'article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47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FD047C">
              <w:rPr>
                <w:rFonts w:ascii="Arial" w:eastAsia="Times New Roman" w:hAnsi="Arial" w:cs="Arial"/>
                <w:noProof/>
                <w:color w:val="1E1E96"/>
                <w:sz w:val="24"/>
                <w:szCs w:val="24"/>
              </w:rPr>
              <w:drawing>
                <wp:inline distT="0" distB="0" distL="0" distR="0" wp14:anchorId="51432C77" wp14:editId="190DC11A">
                  <wp:extent cx="171450" cy="209550"/>
                  <wp:effectExtent l="0" t="0" r="0" b="0"/>
                  <wp:docPr id="6" name="Image 6" descr="Enregistrer dans ma bibliothèque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nregistrer dans ma bibliothèque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47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FD047C">
              <w:rPr>
                <w:rFonts w:ascii="Arial" w:eastAsia="Times New Roman" w:hAnsi="Arial" w:cs="Arial"/>
                <w:noProof/>
                <w:color w:val="1E1E96"/>
                <w:sz w:val="24"/>
                <w:szCs w:val="24"/>
              </w:rPr>
              <w:drawing>
                <wp:inline distT="0" distB="0" distL="0" distR="0" wp14:anchorId="3FB5BD30" wp14:editId="3A27C3DD">
                  <wp:extent cx="209550" cy="209550"/>
                  <wp:effectExtent l="0" t="0" r="0" b="0"/>
                  <wp:docPr id="7" name="Image 7" descr="Reduire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duire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47C">
              <w:rPr>
                <w:rFonts w:ascii="Arial" w:eastAsia="Times New Roman" w:hAnsi="Arial" w:cs="Arial"/>
                <w:sz w:val="24"/>
                <w:szCs w:val="24"/>
              </w:rPr>
              <w:t> </w:t>
            </w:r>
            <w:r w:rsidRPr="00FD047C">
              <w:rPr>
                <w:rFonts w:ascii="Arial" w:eastAsia="Times New Roman" w:hAnsi="Arial" w:cs="Arial"/>
                <w:noProof/>
                <w:color w:val="1E1E96"/>
                <w:sz w:val="24"/>
                <w:szCs w:val="24"/>
              </w:rPr>
              <w:drawing>
                <wp:inline distT="0" distB="0" distL="0" distR="0" wp14:anchorId="2291BE91" wp14:editId="4C488CE1">
                  <wp:extent cx="209550" cy="209550"/>
                  <wp:effectExtent l="0" t="0" r="0" b="0"/>
                  <wp:docPr id="8" name="Image 8" descr="Agrandir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grandir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047C" w:rsidRPr="00FD047C" w:rsidRDefault="00FD047C" w:rsidP="00FD04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5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</w:tblGrid>
      <w:tr w:rsidR="00FD047C" w:rsidRPr="00FD047C" w:rsidTr="00FD04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047C" w:rsidRPr="00FD047C" w:rsidRDefault="00FD047C" w:rsidP="00FD047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666666"/>
                <w:sz w:val="14"/>
                <w:szCs w:val="14"/>
              </w:rPr>
            </w:pPr>
            <w:proofErr w:type="spellStart"/>
            <w:r w:rsidRPr="00FD047C">
              <w:rPr>
                <w:rFonts w:ascii="Arial" w:eastAsia="Times New Roman" w:hAnsi="Arial" w:cs="Arial"/>
                <w:i/>
                <w:iCs/>
                <w:color w:val="666666"/>
                <w:sz w:val="14"/>
                <w:szCs w:val="14"/>
              </w:rPr>
              <w:t>Publicité</w:t>
            </w:r>
            <w:proofErr w:type="spellEnd"/>
          </w:p>
        </w:tc>
      </w:tr>
      <w:tr w:rsidR="00FD047C" w:rsidRPr="00FD047C" w:rsidTr="00FD047C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FD047C" w:rsidRPr="00FD047C" w:rsidRDefault="00FD047C" w:rsidP="00FD047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FD047C" w:rsidRPr="00FD047C" w:rsidRDefault="00FD047C" w:rsidP="00FD047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FD047C">
        <w:rPr>
          <w:rFonts w:ascii="Arial" w:eastAsia="Times New Roman" w:hAnsi="Arial" w:cs="Arial"/>
          <w:color w:val="333333"/>
          <w:sz w:val="18"/>
          <w:szCs w:val="18"/>
        </w:rPr>
        <w:t>Yves KAGAN,</w:t>
      </w:r>
    </w:p>
    <w:p w:rsidR="00FD047C" w:rsidRPr="00FD047C" w:rsidRDefault="00FD047C" w:rsidP="00FD047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spellStart"/>
      <w:r w:rsidRPr="00FD047C">
        <w:rPr>
          <w:rFonts w:ascii="Arial" w:eastAsia="Times New Roman" w:hAnsi="Arial" w:cs="Arial"/>
          <w:color w:val="333333"/>
          <w:sz w:val="18"/>
          <w:szCs w:val="18"/>
        </w:rPr>
        <w:t>Fondation</w:t>
      </w:r>
      <w:proofErr w:type="spellEnd"/>
      <w:r w:rsidRPr="00FD047C">
        <w:rPr>
          <w:rFonts w:ascii="Arial" w:eastAsia="Times New Roman" w:hAnsi="Arial" w:cs="Arial"/>
          <w:color w:val="333333"/>
          <w:sz w:val="18"/>
          <w:szCs w:val="18"/>
        </w:rPr>
        <w:t xml:space="preserve"> de Rothschild, Paris</w:t>
      </w:r>
    </w:p>
    <w:p w:rsidR="00FD047C" w:rsidRPr="00FD047C" w:rsidRDefault="00FD047C" w:rsidP="00FD047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 </w:t>
      </w:r>
    </w:p>
    <w:p w:rsidR="00FD047C" w:rsidRPr="00FD047C" w:rsidRDefault="00FD047C" w:rsidP="00FD047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 xml:space="preserve">Les nouveaux anticoagulants oraux, contrairement aux AVK ont une action ciblée sur un seul facteur de la cascade de l’hémostase soit le facteur </w:t>
      </w:r>
      <w:proofErr w:type="spellStart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>IIa</w:t>
      </w:r>
      <w:proofErr w:type="spellEnd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 xml:space="preserve"> ou thrombine (</w:t>
      </w:r>
      <w:proofErr w:type="spellStart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>dabigatran</w:t>
      </w:r>
      <w:proofErr w:type="spellEnd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 xml:space="preserve">), soit le facteur </w:t>
      </w:r>
      <w:proofErr w:type="spellStart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>Xa</w:t>
      </w:r>
      <w:proofErr w:type="spellEnd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 xml:space="preserve"> (</w:t>
      </w:r>
      <w:proofErr w:type="spellStart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>rivaroxaban</w:t>
      </w:r>
      <w:proofErr w:type="spellEnd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 xml:space="preserve">, </w:t>
      </w:r>
      <w:proofErr w:type="spellStart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>apixaban</w:t>
      </w:r>
      <w:proofErr w:type="spellEnd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 xml:space="preserve">, etc.). </w:t>
      </w:r>
      <w:proofErr w:type="gramStart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>es</w:t>
      </w:r>
      <w:proofErr w:type="gramEnd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 xml:space="preserve"> nouveaux anticoagulants oraux, contrairement aux AVK ont une action ciblée sur un seul facteur de la cascade de l’hémostase soit le facteur </w:t>
      </w:r>
      <w:proofErr w:type="spellStart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>IIa</w:t>
      </w:r>
      <w:proofErr w:type="spellEnd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 xml:space="preserve"> ou thrombine (</w:t>
      </w:r>
      <w:proofErr w:type="spellStart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>dabigatran</w:t>
      </w:r>
      <w:proofErr w:type="spellEnd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 xml:space="preserve">), soit le facteur </w:t>
      </w:r>
      <w:proofErr w:type="spellStart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>Xa</w:t>
      </w:r>
      <w:proofErr w:type="spellEnd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 xml:space="preserve"> (</w:t>
      </w:r>
      <w:proofErr w:type="spellStart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>rivaroxaban</w:t>
      </w:r>
      <w:proofErr w:type="spellEnd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 xml:space="preserve">, </w:t>
      </w:r>
      <w:proofErr w:type="spellStart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>apixaban</w:t>
      </w:r>
      <w:proofErr w:type="spellEnd"/>
      <w:r w:rsidRPr="00FD047C">
        <w:rPr>
          <w:rFonts w:ascii="Arial" w:eastAsia="Times New Roman" w:hAnsi="Arial" w:cs="Arial"/>
          <w:b/>
          <w:bCs/>
          <w:i/>
          <w:iCs/>
          <w:color w:val="333333"/>
          <w:sz w:val="18"/>
          <w:szCs w:val="18"/>
          <w:lang w:val="fr-FR"/>
        </w:rPr>
        <w:t>, etc.).</w:t>
      </w:r>
    </w:p>
    <w:p w:rsidR="00FD047C" w:rsidRPr="00FD047C" w:rsidRDefault="00FD047C" w:rsidP="00FD047C">
      <w:pPr>
        <w:shd w:val="clear" w:color="auto" w:fill="FFFFFF"/>
        <w:spacing w:before="225" w:after="225" w:line="240" w:lineRule="auto"/>
        <w:outlineLvl w:val="0"/>
        <w:rPr>
          <w:rFonts w:ascii="Arial" w:eastAsia="Times New Roman" w:hAnsi="Arial" w:cs="Arial"/>
          <w:b/>
          <w:bCs/>
          <w:color w:val="1E1E96"/>
          <w:kern w:val="36"/>
          <w:sz w:val="27"/>
          <w:szCs w:val="27"/>
          <w:lang w:val="fr-FR"/>
        </w:rPr>
      </w:pPr>
      <w:r w:rsidRPr="00FD047C">
        <w:rPr>
          <w:rFonts w:ascii="Arial" w:eastAsia="Times New Roman" w:hAnsi="Arial" w:cs="Arial"/>
          <w:b/>
          <w:bCs/>
          <w:color w:val="1E1E96"/>
          <w:kern w:val="36"/>
          <w:sz w:val="27"/>
          <w:szCs w:val="27"/>
          <w:lang w:val="fr-FR"/>
        </w:rPr>
        <w:t>En traitement préventif</w:t>
      </w:r>
    </w:p>
    <w:p w:rsidR="00FD047C" w:rsidRPr="00FD047C" w:rsidRDefault="00FD047C" w:rsidP="00FD047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 xml:space="preserve">Trois d’entre eux ont obtenu l’AMM en prévention de la chirurgie orthopédique majeure réglée : prothèse de hanche et prothèse de genou (voir </w:t>
      </w:r>
      <w:proofErr w:type="spellStart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cidessus</w:t>
      </w:r>
      <w:proofErr w:type="spellEnd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). La dose est plus faible qu’en « curatif » et la durée jusqu’au 35e jour postopératoire.</w:t>
      </w:r>
    </w:p>
    <w:p w:rsidR="00FD047C" w:rsidRPr="00FD047C" w:rsidRDefault="00FD047C" w:rsidP="00FD047C">
      <w:pPr>
        <w:shd w:val="clear" w:color="auto" w:fill="FFFFFF"/>
        <w:spacing w:before="225" w:after="225" w:line="240" w:lineRule="auto"/>
        <w:outlineLvl w:val="0"/>
        <w:rPr>
          <w:rFonts w:ascii="Arial" w:eastAsia="Times New Roman" w:hAnsi="Arial" w:cs="Arial"/>
          <w:b/>
          <w:bCs/>
          <w:color w:val="1E1E96"/>
          <w:kern w:val="36"/>
          <w:sz w:val="27"/>
          <w:szCs w:val="27"/>
          <w:lang w:val="fr-FR"/>
        </w:rPr>
      </w:pPr>
      <w:r w:rsidRPr="00FD047C">
        <w:rPr>
          <w:rFonts w:ascii="Arial" w:eastAsia="Times New Roman" w:hAnsi="Arial" w:cs="Arial"/>
          <w:b/>
          <w:bCs/>
          <w:color w:val="1E1E96"/>
          <w:kern w:val="36"/>
          <w:sz w:val="27"/>
          <w:szCs w:val="27"/>
          <w:lang w:val="fr-FR"/>
        </w:rPr>
        <w:t>En traitement « </w:t>
      </w:r>
      <w:r w:rsidRPr="00FD047C">
        <w:rPr>
          <w:rFonts w:ascii="Arial" w:eastAsia="Times New Roman" w:hAnsi="Arial" w:cs="Arial"/>
          <w:b/>
          <w:bCs/>
          <w:i/>
          <w:iCs/>
          <w:color w:val="1E1E96"/>
          <w:kern w:val="36"/>
          <w:sz w:val="27"/>
          <w:szCs w:val="27"/>
          <w:lang w:val="fr-FR"/>
        </w:rPr>
        <w:t>curatif</w:t>
      </w:r>
      <w:r w:rsidRPr="00FD047C">
        <w:rPr>
          <w:rFonts w:ascii="Arial" w:eastAsia="Times New Roman" w:hAnsi="Arial" w:cs="Arial"/>
          <w:b/>
          <w:bCs/>
          <w:color w:val="1E1E96"/>
          <w:kern w:val="36"/>
          <w:sz w:val="27"/>
          <w:szCs w:val="27"/>
          <w:lang w:val="fr-FR"/>
        </w:rPr>
        <w:t> »</w:t>
      </w:r>
    </w:p>
    <w:p w:rsidR="00FD047C" w:rsidRPr="00FD047C" w:rsidRDefault="00FD047C" w:rsidP="00FD047C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1E1E96"/>
          <w:sz w:val="21"/>
          <w:szCs w:val="21"/>
          <w:lang w:val="fr-FR"/>
        </w:rPr>
      </w:pPr>
      <w:r w:rsidRPr="00FD047C">
        <w:rPr>
          <w:rFonts w:ascii="Arial" w:eastAsia="Times New Roman" w:hAnsi="Arial" w:cs="Arial"/>
          <w:b/>
          <w:bCs/>
          <w:color w:val="1E1E96"/>
          <w:sz w:val="21"/>
          <w:szCs w:val="21"/>
          <w:lang w:val="fr-FR"/>
        </w:rPr>
        <w:t>Une utilisation plus facile que pour les AVK I</w:t>
      </w:r>
    </w:p>
    <w:p w:rsidR="00FD047C" w:rsidRPr="00FD047C" w:rsidRDefault="00FD047C" w:rsidP="00FD047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Ils ont des caractéristiques pharmacologiques qui leur confèrent des avantages et des inconvénients (tableau).</w:t>
      </w:r>
    </w:p>
    <w:p w:rsidR="00FD047C" w:rsidRPr="00FD047C" w:rsidRDefault="00FD047C" w:rsidP="00FD047C">
      <w:pPr>
        <w:shd w:val="clear" w:color="auto" w:fill="FFFFFF"/>
        <w:spacing w:after="75" w:line="240" w:lineRule="auto"/>
        <w:jc w:val="center"/>
        <w:rPr>
          <w:rFonts w:ascii="Arial" w:eastAsia="Times New Roman" w:hAnsi="Arial" w:cs="Arial"/>
          <w:color w:val="333333"/>
          <w:sz w:val="18"/>
          <w:szCs w:val="18"/>
        </w:rPr>
      </w:pPr>
      <w:r w:rsidRPr="00FD047C">
        <w:rPr>
          <w:rFonts w:ascii="Arial" w:eastAsia="Times New Roman" w:hAnsi="Arial" w:cs="Arial"/>
          <w:noProof/>
          <w:color w:val="333333"/>
          <w:sz w:val="18"/>
          <w:szCs w:val="18"/>
        </w:rPr>
        <w:drawing>
          <wp:inline distT="0" distB="0" distL="0" distR="0" wp14:anchorId="3E1D4F4B" wp14:editId="0577B569">
            <wp:extent cx="5638800" cy="3286125"/>
            <wp:effectExtent l="0" t="0" r="0" b="9525"/>
            <wp:docPr id="9" name="Image 9" descr="http://www.jim.fr/e-docs/00/02/13/6C/media_tabl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jim.fr/e-docs/00/02/13/6C/media_tableau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47C" w:rsidRPr="00FD047C" w:rsidRDefault="00FD047C" w:rsidP="00FD047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En pratique, en respectant la contre-indication de l’insuffisance rénale sévère et en étant attentif à l’observance, les avantages l’emportent sur les AVK en termes de facilité d’emploi.</w:t>
      </w:r>
    </w:p>
    <w:p w:rsidR="00FD047C" w:rsidRPr="00FD047C" w:rsidRDefault="00FD047C" w:rsidP="00FD047C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1E1E96"/>
          <w:sz w:val="21"/>
          <w:szCs w:val="21"/>
          <w:lang w:val="fr-FR"/>
        </w:rPr>
      </w:pPr>
      <w:r w:rsidRPr="00FD047C">
        <w:rPr>
          <w:rFonts w:ascii="Arial" w:eastAsia="Times New Roman" w:hAnsi="Arial" w:cs="Arial"/>
          <w:b/>
          <w:bCs/>
          <w:color w:val="1E1E96"/>
          <w:sz w:val="21"/>
          <w:szCs w:val="21"/>
          <w:lang w:val="fr-FR"/>
        </w:rPr>
        <w:t>Sont-ils plus avantageux que le traitement conventionnel ?</w:t>
      </w:r>
    </w:p>
    <w:p w:rsidR="00FD047C" w:rsidRPr="00FD047C" w:rsidRDefault="00FD047C" w:rsidP="00FD047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lastRenderedPageBreak/>
        <w:t>S’ils sont plus commodes que le traitement conventionnel, sont-ils plus avantageux en termes de :</w:t>
      </w:r>
    </w:p>
    <w:p w:rsidR="00FD047C" w:rsidRPr="00FD047C" w:rsidRDefault="00FD047C" w:rsidP="00FD047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 xml:space="preserve">– risque de récidive d’ETEV </w:t>
      </w:r>
      <w:proofErr w:type="gramStart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;</w:t>
      </w:r>
      <w:proofErr w:type="gramEnd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br/>
        <w:t>– risque d’accident hémorragique. Ici seules les études cliniques peuvent répondre.</w:t>
      </w:r>
    </w:p>
    <w:p w:rsidR="00FD047C" w:rsidRPr="00FD047C" w:rsidRDefault="00FD047C" w:rsidP="00FD047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 xml:space="preserve">Dans le contexte de la MTEV, on ne peut se baser actuellement que sur les résultats de l’étude EINSTEIN, qui a permis au </w:t>
      </w:r>
      <w:proofErr w:type="spellStart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rivaroxaban</w:t>
      </w:r>
      <w:proofErr w:type="spellEnd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 xml:space="preserve"> (anti-</w:t>
      </w:r>
      <w:proofErr w:type="spellStart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Xa</w:t>
      </w:r>
      <w:proofErr w:type="spellEnd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 xml:space="preserve">) d’avoir l’AMM en prévention de récidive après une TVP (sans embolie pulmonaire). Il ne sera donc ici question que du </w:t>
      </w:r>
      <w:proofErr w:type="spellStart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rivaroxaban</w:t>
      </w:r>
      <w:proofErr w:type="spellEnd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, administré dans cette étude à la dose de 30 mg/j en deux prises durant les 3 premières semaines, puis 20 mg/j en une prise au-delà. Les risques de récidive d’ETEV et d’accident hémorragique, notamment d’accident sévère, n’ont pas été supérieurs à ceux du traitement conventionnel (</w:t>
      </w:r>
      <w:proofErr w:type="spellStart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énoxaparine</w:t>
      </w:r>
      <w:proofErr w:type="spellEnd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 xml:space="preserve"> puis relais AVK).</w:t>
      </w:r>
    </w:p>
    <w:p w:rsidR="00FD047C" w:rsidRPr="00FD047C" w:rsidRDefault="00FD047C" w:rsidP="00FD047C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1E1E96"/>
          <w:sz w:val="21"/>
          <w:szCs w:val="21"/>
          <w:lang w:val="fr-FR"/>
        </w:rPr>
      </w:pPr>
      <w:r w:rsidRPr="00FD047C">
        <w:rPr>
          <w:rFonts w:ascii="Arial" w:eastAsia="Times New Roman" w:hAnsi="Arial" w:cs="Arial"/>
          <w:b/>
          <w:bCs/>
          <w:color w:val="1E1E96"/>
          <w:sz w:val="21"/>
          <w:szCs w:val="21"/>
          <w:lang w:val="fr-FR"/>
        </w:rPr>
        <w:t xml:space="preserve">Peut-on prescrire le </w:t>
      </w:r>
      <w:proofErr w:type="spellStart"/>
      <w:r w:rsidRPr="00FD047C">
        <w:rPr>
          <w:rFonts w:ascii="Arial" w:eastAsia="Times New Roman" w:hAnsi="Arial" w:cs="Arial"/>
          <w:b/>
          <w:bCs/>
          <w:color w:val="1E1E96"/>
          <w:sz w:val="21"/>
          <w:szCs w:val="21"/>
          <w:lang w:val="fr-FR"/>
        </w:rPr>
        <w:t>rivaroxaban</w:t>
      </w:r>
      <w:proofErr w:type="spellEnd"/>
      <w:r w:rsidRPr="00FD047C">
        <w:rPr>
          <w:rFonts w:ascii="Arial" w:eastAsia="Times New Roman" w:hAnsi="Arial" w:cs="Arial"/>
          <w:b/>
          <w:bCs/>
          <w:color w:val="1E1E96"/>
          <w:sz w:val="21"/>
          <w:szCs w:val="21"/>
          <w:lang w:val="fr-FR"/>
        </w:rPr>
        <w:t xml:space="preserve"> dans la population âgée ?</w:t>
      </w:r>
    </w:p>
    <w:p w:rsidR="00FD047C" w:rsidRPr="00FD047C" w:rsidRDefault="00FD047C" w:rsidP="00FD047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 xml:space="preserve">L’étude EINSTEIN a concerné des sujets âgés de 56 ans en moyenne et un petit nombre de sujets &gt; 75 ans et dont la fonction rénale était normale 3 fois sur 4. Or, dans la vie courante, ce sont précisément parmi ces sujets âgés, fragiles, </w:t>
      </w:r>
      <w:proofErr w:type="spellStart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polypathologiques</w:t>
      </w:r>
      <w:proofErr w:type="spellEnd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 xml:space="preserve"> que surviennent la majorité des cas de MTEV et que le risque hémorragique est le plus élevé, notamment d’hémorragies graves, dont les hémorragies cérébrales redoutées par tout clinicien.</w:t>
      </w:r>
    </w:p>
    <w:p w:rsidR="00FD047C" w:rsidRPr="00FD047C" w:rsidRDefault="00FD047C" w:rsidP="00FD047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En même temps, il existe des arguments encourageants :</w:t>
      </w:r>
    </w:p>
    <w:p w:rsidR="00FD047C" w:rsidRPr="00FD047C" w:rsidRDefault="00FD047C" w:rsidP="00FD047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 xml:space="preserve">– l’extension de l’étude EINSTEIN étudiant la tolérance au long cours du </w:t>
      </w:r>
      <w:proofErr w:type="spellStart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rivaroxaban</w:t>
      </w:r>
      <w:proofErr w:type="spellEnd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 xml:space="preserve"> jusqu’à 2 ans versus placebo ne montre pas d’augmentation du risque d’hémorragies majeures </w:t>
      </w:r>
      <w:proofErr w:type="gramStart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;</w:t>
      </w:r>
      <w:proofErr w:type="gramEnd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br/>
        <w:t xml:space="preserve">– la tolérance du </w:t>
      </w:r>
      <w:proofErr w:type="spellStart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rivaroxaban</w:t>
      </w:r>
      <w:proofErr w:type="spellEnd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 xml:space="preserve"> dans la grande étude ROCKET au cours de la FA, ayant inclus 6 000 patients &gt; 75 ans, a montré moins d’hémorragies intracérébrales et/ou létales qu’avec les AVK. Des études menées spécifiquement dans les populations âgées fragiles et </w:t>
      </w:r>
      <w:proofErr w:type="spellStart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polypathologiques</w:t>
      </w:r>
      <w:proofErr w:type="spellEnd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 xml:space="preserve"> avec une dose adaptée à la fonction rénale, testant ainsi le risque de récidive d’ETEV, sont donc nécessaires. Par ailleurs, des registres d’évaluation du risque hémorragique avec les nouveaux anticoagulants sont attendus notamment chez les patients à risque : âgés, avec une fonction rénale altérée, un petit poids.</w:t>
      </w:r>
    </w:p>
    <w:p w:rsidR="00FD047C" w:rsidRPr="00FD047C" w:rsidRDefault="00FD047C" w:rsidP="00FD047C">
      <w:pPr>
        <w:shd w:val="clear" w:color="auto" w:fill="FFFFFF"/>
        <w:spacing w:before="225" w:after="225" w:line="240" w:lineRule="auto"/>
        <w:outlineLvl w:val="0"/>
        <w:rPr>
          <w:rFonts w:ascii="Arial" w:eastAsia="Times New Roman" w:hAnsi="Arial" w:cs="Arial"/>
          <w:b/>
          <w:bCs/>
          <w:color w:val="1E1E96"/>
          <w:kern w:val="36"/>
          <w:sz w:val="27"/>
          <w:szCs w:val="27"/>
          <w:lang w:val="fr-FR"/>
        </w:rPr>
      </w:pPr>
      <w:r w:rsidRPr="00FD047C">
        <w:rPr>
          <w:rFonts w:ascii="Arial" w:eastAsia="Times New Roman" w:hAnsi="Arial" w:cs="Arial"/>
          <w:b/>
          <w:bCs/>
          <w:color w:val="1E1E96"/>
          <w:kern w:val="36"/>
          <w:sz w:val="27"/>
          <w:szCs w:val="27"/>
          <w:lang w:val="fr-FR"/>
        </w:rPr>
        <w:t>Apprendre à bien utiliser les nouveaux anticoagulants</w:t>
      </w:r>
    </w:p>
    <w:p w:rsidR="00FD047C" w:rsidRPr="00FD047C" w:rsidRDefault="00FD047C" w:rsidP="00FD047C">
      <w:pPr>
        <w:shd w:val="clear" w:color="auto" w:fill="FFFFFF"/>
        <w:spacing w:before="225" w:after="225" w:line="240" w:lineRule="auto"/>
        <w:outlineLvl w:val="2"/>
        <w:rPr>
          <w:rFonts w:ascii="Arial" w:eastAsia="Times New Roman" w:hAnsi="Arial" w:cs="Arial"/>
          <w:b/>
          <w:bCs/>
          <w:color w:val="1E1E96"/>
          <w:sz w:val="21"/>
          <w:szCs w:val="21"/>
          <w:lang w:val="fr-FR"/>
        </w:rPr>
      </w:pPr>
      <w:r w:rsidRPr="00FD047C">
        <w:rPr>
          <w:rFonts w:ascii="Arial" w:eastAsia="Times New Roman" w:hAnsi="Arial" w:cs="Arial"/>
          <w:b/>
          <w:bCs/>
          <w:color w:val="1E1E96"/>
          <w:sz w:val="21"/>
          <w:szCs w:val="21"/>
          <w:lang w:val="fr-FR"/>
        </w:rPr>
        <w:t>Respecter les règles de prudence</w:t>
      </w:r>
      <w:bookmarkStart w:id="0" w:name="_GoBack"/>
      <w:bookmarkEnd w:id="0"/>
    </w:p>
    <w:p w:rsidR="00FD047C" w:rsidRPr="00FD047C" w:rsidRDefault="00FD047C" w:rsidP="00FD047C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• Aucun nouvel anticoagulant n’a encore l’AMM dans les suites d’une embolie pulmonaire.</w:t>
      </w:r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br/>
        <w:t>• Sous prétexte d’un traitement particulièrement facile à mener, il ne faut pas banaliser la MTEV, pathologie grave par son double risque de récidive thromboembolique et hémorragique iatrogène. Le diagnostic de TVP doit donc être prouvé le plus rapidement possible.</w:t>
      </w:r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br/>
        <w:t>• Contre-indication en cas de clairance de la créatinine &lt; 30 ml/min</w:t>
      </w:r>
      <w:proofErr w:type="gramStart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t>.</w:t>
      </w:r>
      <w:proofErr w:type="gramEnd"/>
      <w:r w:rsidRPr="00FD047C">
        <w:rPr>
          <w:rFonts w:ascii="Arial" w:eastAsia="Times New Roman" w:hAnsi="Arial" w:cs="Arial"/>
          <w:color w:val="333333"/>
          <w:sz w:val="18"/>
          <w:szCs w:val="18"/>
          <w:lang w:val="fr-FR"/>
        </w:rPr>
        <w:br/>
        <w:t>• Il faut toujours dépister des troubles cognitifs et apprécier l’observance (en cas d’oubli, le patient n’est plus protégé).</w:t>
      </w:r>
    </w:p>
    <w:p w:rsidR="00FD047C" w:rsidRPr="00FD047C" w:rsidRDefault="00FD047C" w:rsidP="00FD0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18"/>
          <w:szCs w:val="18"/>
          <w:lang w:val="fr-FR"/>
        </w:rPr>
      </w:pPr>
    </w:p>
    <w:p w:rsidR="00FD047C" w:rsidRPr="00FD047C" w:rsidRDefault="00FD047C" w:rsidP="00FD047C">
      <w:pPr>
        <w:shd w:val="clear" w:color="auto" w:fill="FFFFFF"/>
        <w:spacing w:after="75" w:line="240" w:lineRule="auto"/>
        <w:jc w:val="right"/>
        <w:rPr>
          <w:rFonts w:ascii="Arial" w:eastAsia="Times New Roman" w:hAnsi="Arial" w:cs="Arial"/>
          <w:color w:val="999999"/>
          <w:sz w:val="18"/>
          <w:szCs w:val="18"/>
          <w:lang w:val="fr-FR"/>
        </w:rPr>
      </w:pPr>
      <w:r w:rsidRPr="00FD047C">
        <w:rPr>
          <w:rFonts w:ascii="Arial" w:eastAsia="Times New Roman" w:hAnsi="Arial" w:cs="Arial"/>
          <w:color w:val="999999"/>
          <w:sz w:val="18"/>
          <w:szCs w:val="18"/>
          <w:lang w:val="fr-FR"/>
        </w:rPr>
        <w:t xml:space="preserve">Copyright © Len </w:t>
      </w:r>
      <w:proofErr w:type="spellStart"/>
      <w:r w:rsidRPr="00FD047C">
        <w:rPr>
          <w:rFonts w:ascii="Arial" w:eastAsia="Times New Roman" w:hAnsi="Arial" w:cs="Arial"/>
          <w:color w:val="999999"/>
          <w:sz w:val="18"/>
          <w:szCs w:val="18"/>
          <w:lang w:val="fr-FR"/>
        </w:rPr>
        <w:t>medical</w:t>
      </w:r>
      <w:proofErr w:type="spellEnd"/>
      <w:r w:rsidRPr="00FD047C">
        <w:rPr>
          <w:rFonts w:ascii="Arial" w:eastAsia="Times New Roman" w:hAnsi="Arial" w:cs="Arial"/>
          <w:color w:val="999999"/>
          <w:sz w:val="18"/>
          <w:szCs w:val="18"/>
          <w:lang w:val="fr-FR"/>
        </w:rPr>
        <w:t xml:space="preserve">, </w:t>
      </w:r>
      <w:proofErr w:type="spellStart"/>
      <w:r w:rsidRPr="00FD047C">
        <w:rPr>
          <w:rFonts w:ascii="Arial" w:eastAsia="Times New Roman" w:hAnsi="Arial" w:cs="Arial"/>
          <w:color w:val="999999"/>
          <w:sz w:val="18"/>
          <w:szCs w:val="18"/>
          <w:lang w:val="fr-FR"/>
        </w:rPr>
        <w:t>Gerontologie</w:t>
      </w:r>
      <w:proofErr w:type="spellEnd"/>
      <w:r w:rsidRPr="00FD047C">
        <w:rPr>
          <w:rFonts w:ascii="Arial" w:eastAsia="Times New Roman" w:hAnsi="Arial" w:cs="Arial"/>
          <w:color w:val="999999"/>
          <w:sz w:val="18"/>
          <w:szCs w:val="18"/>
          <w:lang w:val="fr-FR"/>
        </w:rPr>
        <w:t xml:space="preserve"> pratique, novembre 2012</w:t>
      </w:r>
    </w:p>
    <w:p w:rsidR="00C20235" w:rsidRPr="00FD047C" w:rsidRDefault="00FD047C">
      <w:pPr>
        <w:rPr>
          <w:lang w:val="fr-FR"/>
        </w:rPr>
      </w:pPr>
    </w:p>
    <w:sectPr w:rsidR="00C20235" w:rsidRPr="00FD047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07"/>
    <w:rsid w:val="00621C32"/>
    <w:rsid w:val="00970A17"/>
    <w:rsid w:val="00A46807"/>
    <w:rsid w:val="00B24E4D"/>
    <w:rsid w:val="00F15D02"/>
    <w:rsid w:val="00F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D0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5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729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im.fr/mail/reagir.phtml?cle_doc=136044" TargetMode="External"/><Relationship Id="rId18" Type="http://schemas.openxmlformats.org/officeDocument/2006/relationships/image" Target="media/image7.gif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://www.facebook.com/sharer.php?u=http://www.jim.fr/e-docs/00/02/13/6C/document_mise_point.phtml" TargetMode="External"/><Relationship Id="rId12" Type="http://schemas.openxmlformats.org/officeDocument/2006/relationships/image" Target="media/image4.gif"/><Relationship Id="rId17" Type="http://schemas.openxmlformats.org/officeDocument/2006/relationships/hyperlink" Target="javascript:selectStyleSheet(-2);;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gif"/><Relationship Id="rId20" Type="http://schemas.openxmlformats.org/officeDocument/2006/relationships/image" Target="media/image8.gi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jim.fr/mail/index.phtml?url=http://www.jim.fr/e-docs/00/02/13/6C/document_mise_point.phtml" TargetMode="External"/><Relationship Id="rId5" Type="http://schemas.openxmlformats.org/officeDocument/2006/relationships/hyperlink" Target="http://twitter.com/intent/tweet?text=Maladie+thromboembolique+veineuse+:+place+des+nouveaux+anticoagulants+:+http://www.jim.fr/2136C" TargetMode="External"/><Relationship Id="rId15" Type="http://schemas.openxmlformats.org/officeDocument/2006/relationships/hyperlink" Target="http://www.jim.fr/e-docs/00/02/13/6C/enreg_biblio.phtml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gif"/><Relationship Id="rId19" Type="http://schemas.openxmlformats.org/officeDocument/2006/relationships/hyperlink" Target="javascript:selectStyleSheet(2);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im.fr/print/e-docs/00/02/13/6C/document_mise_point.phtml" TargetMode="External"/><Relationship Id="rId14" Type="http://schemas.openxmlformats.org/officeDocument/2006/relationships/image" Target="media/image5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</dc:creator>
  <cp:keywords/>
  <dc:description/>
  <cp:lastModifiedBy>claude</cp:lastModifiedBy>
  <cp:revision>2</cp:revision>
  <dcterms:created xsi:type="dcterms:W3CDTF">2012-12-20T16:14:00Z</dcterms:created>
  <dcterms:modified xsi:type="dcterms:W3CDTF">2012-12-20T16:17:00Z</dcterms:modified>
</cp:coreProperties>
</file>